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E56830" w:rsidP="00192714">
      <w:pPr>
        <w:pStyle w:val="AHPRADocumenttitle"/>
      </w:pPr>
      <w:r>
        <w:t>Public</w:t>
      </w:r>
      <w:r w:rsidR="0058421F">
        <w:t xml:space="preserve"> </w:t>
      </w:r>
      <w:r w:rsidR="00192714">
        <w:t xml:space="preserve">consultation </w:t>
      </w:r>
      <w:r w:rsidR="0058421F">
        <w:t xml:space="preserve">on </w:t>
      </w:r>
      <w:r w:rsidR="00F65455">
        <w:t xml:space="preserve">the </w:t>
      </w:r>
      <w:r w:rsidR="0058421F">
        <w:t xml:space="preserve">draft </w:t>
      </w:r>
      <w:r w:rsidR="00B65321">
        <w:rPr>
          <w:i/>
        </w:rPr>
        <w:t>Professional practice profile for pharmacists undertaking complex compounding</w:t>
      </w:r>
    </w:p>
    <w:p w:rsidR="00192714" w:rsidRPr="0071260D" w:rsidRDefault="00ED5A8A" w:rsidP="00192714">
      <w:pPr>
        <w:pStyle w:val="AHPRAHeadline"/>
        <w:outlineLvl w:val="0"/>
        <w:rPr>
          <w:sz w:val="20"/>
        </w:rPr>
      </w:pPr>
      <w:r>
        <w:rPr>
          <w:noProof/>
          <w:sz w:val="20"/>
          <w:lang w:val="en-GB" w:eastAsia="en-GB"/>
        </w:rPr>
        <w:pict>
          <v:shapetype id="_x0000_t32" coordsize="21600,21600" o:spt="32" o:oned="t" path="m,l21600,21600e" filled="f">
            <v:path arrowok="t" fillok="f" o:connecttype="none"/>
            <o:lock v:ext="edit" shapetype="t"/>
          </v:shapetype>
          <v:shape id="AutoShape 3" o:spid="_x0000_s1029" type="#_x0000_t32" style="position:absolute;margin-left:-55.65pt;margin-top:.15pt;width:28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E56830" w:rsidP="0071260D">
      <w:pPr>
        <w:pStyle w:val="AHPRAbodytext"/>
        <w:spacing w:before="200"/>
      </w:pPr>
      <w:r>
        <w:t>28 April 2014</w:t>
      </w:r>
    </w:p>
    <w:p w:rsidR="00192714" w:rsidRPr="00AE0BFA" w:rsidRDefault="0058421F" w:rsidP="00192714">
      <w:pPr>
        <w:pStyle w:val="AHPRADocumentsubheading"/>
      </w:pPr>
      <w:r>
        <w:t xml:space="preserve">Responses to consultation questions </w:t>
      </w:r>
    </w:p>
    <w:p w:rsidR="00E2141B" w:rsidRPr="000D72F6" w:rsidRDefault="00E2141B" w:rsidP="00E2141B">
      <w:pPr>
        <w:pStyle w:val="AHPRAbody"/>
        <w:ind w:right="-306"/>
        <w:rPr>
          <w:rFonts w:ascii="Arial" w:hAnsi="Arial"/>
          <w:b/>
          <w:color w:val="000000" w:themeColor="text1"/>
        </w:rPr>
      </w:pPr>
      <w:r w:rsidRPr="00E2141B">
        <w:rPr>
          <w:rFonts w:ascii="Arial" w:hAnsi="Arial"/>
          <w:b/>
        </w:rPr>
        <w:t xml:space="preserve">Please provide your feedback </w:t>
      </w:r>
      <w:r w:rsidR="000A04E2">
        <w:rPr>
          <w:rFonts w:ascii="Arial" w:hAnsi="Arial"/>
          <w:b/>
          <w:bCs/>
          <w:szCs w:val="20"/>
        </w:rPr>
        <w:t>as a W</w:t>
      </w:r>
      <w:r w:rsidRPr="00E2141B">
        <w:rPr>
          <w:rFonts w:ascii="Arial" w:hAnsi="Arial"/>
          <w:b/>
          <w:bCs/>
          <w:szCs w:val="20"/>
        </w:rPr>
        <w:t>ord documen</w:t>
      </w:r>
      <w:r w:rsidR="00515FBC">
        <w:rPr>
          <w:rFonts w:ascii="Arial" w:hAnsi="Arial"/>
          <w:b/>
          <w:bCs/>
          <w:szCs w:val="20"/>
        </w:rPr>
        <w:t>t (or equivalent)</w:t>
      </w:r>
      <w:r w:rsidR="00515FBC"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7" w:history="1">
        <w:r w:rsidR="001D5537" w:rsidRPr="000D72F6">
          <w:rPr>
            <w:rStyle w:val="Hyperlink"/>
            <w:rFonts w:ascii="Arial" w:hAnsi="Arial"/>
            <w:b/>
            <w:lang w:val="en-US"/>
          </w:rPr>
          <w:t>pharmacyconsultation@ahpra.gov.au</w:t>
        </w:r>
      </w:hyperlink>
      <w:r w:rsidRPr="000D72F6">
        <w:rPr>
          <w:rFonts w:ascii="Arial" w:hAnsi="Arial"/>
          <w:b/>
        </w:rPr>
        <w:t xml:space="preserve"> </w:t>
      </w:r>
      <w:bookmarkStart w:id="0" w:name="_Toc320239872"/>
      <w:r w:rsidRPr="000D72F6">
        <w:rPr>
          <w:rFonts w:ascii="Arial" w:hAnsi="Arial"/>
          <w:b/>
        </w:rPr>
        <w:t xml:space="preserve">by close of business on </w:t>
      </w:r>
      <w:r w:rsidR="00E56830">
        <w:rPr>
          <w:rFonts w:ascii="Arial" w:hAnsi="Arial"/>
          <w:b/>
        </w:rPr>
        <w:t xml:space="preserve">Monday </w:t>
      </w:r>
      <w:r w:rsidR="00E56830">
        <w:rPr>
          <w:rFonts w:ascii="Arial" w:hAnsi="Arial"/>
          <w:b/>
          <w:lang w:val="en-US"/>
        </w:rPr>
        <w:t>30</w:t>
      </w:r>
      <w:r w:rsidR="003E151C" w:rsidRPr="000D72F6">
        <w:rPr>
          <w:rFonts w:ascii="Arial" w:hAnsi="Arial"/>
          <w:b/>
          <w:lang w:val="en-US"/>
        </w:rPr>
        <w:t xml:space="preserve"> </w:t>
      </w:r>
      <w:r w:rsidR="00E56830">
        <w:rPr>
          <w:rFonts w:ascii="Arial" w:hAnsi="Arial"/>
          <w:b/>
          <w:lang w:val="en-US"/>
        </w:rPr>
        <w:t>June 2014</w:t>
      </w:r>
      <w:r w:rsidRPr="000D72F6">
        <w:rPr>
          <w:rFonts w:ascii="Arial" w:hAnsi="Arial"/>
          <w:b/>
        </w:rPr>
        <w:t xml:space="preserve">. </w:t>
      </w:r>
    </w:p>
    <w:bookmarkEnd w:id="0"/>
    <w:p w:rsidR="00E2141B" w:rsidRDefault="00E2141B" w:rsidP="00E2141B">
      <w:pPr>
        <w:pStyle w:val="AHPRASubhead"/>
        <w:jc w:val="both"/>
      </w:pPr>
      <w:r w:rsidRPr="000D72F6">
        <w:t>Stakeholder Details</w:t>
      </w:r>
    </w:p>
    <w:p w:rsidR="00E2141B" w:rsidRDefault="00E2141B"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600851" w:rsidP="001F63F8">
            <w:pPr>
              <w:pStyle w:val="TableText"/>
              <w:keepNext w:val="0"/>
              <w:spacing w:before="0" w:after="0"/>
              <w:jc w:val="both"/>
              <w:rPr>
                <w:rFonts w:ascii="Arial" w:hAnsi="Arial" w:cs="Arial"/>
                <w:color w:val="auto"/>
                <w:szCs w:val="20"/>
              </w:rPr>
            </w:pPr>
            <w:bookmarkStart w:id="1" w:name="_GoBack"/>
            <w:r>
              <w:rPr>
                <w:rFonts w:ascii="Arial" w:hAnsi="Arial" w:cs="Arial"/>
                <w:color w:val="auto"/>
                <w:szCs w:val="20"/>
              </w:rPr>
              <w:t>The Society of Hospital Pharmacists of Australia</w:t>
            </w:r>
            <w:bookmarkEnd w:id="1"/>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1773F6" w:rsidRDefault="00600851" w:rsidP="001773F6">
            <w:pPr>
              <w:pStyle w:val="TableText"/>
              <w:keepNext w:val="0"/>
              <w:spacing w:before="0" w:after="0"/>
              <w:jc w:val="both"/>
              <w:rPr>
                <w:rFonts w:ascii="Arial" w:hAnsi="Arial" w:cs="Arial"/>
                <w:color w:val="auto"/>
                <w:szCs w:val="20"/>
              </w:rPr>
            </w:pPr>
            <w:r>
              <w:rPr>
                <w:rFonts w:ascii="Arial" w:hAnsi="Arial" w:cs="Arial"/>
                <w:color w:val="auto"/>
                <w:szCs w:val="20"/>
              </w:rPr>
              <w:t xml:space="preserve">Karen O’Leary </w:t>
            </w:r>
            <w:r w:rsidR="001773F6">
              <w:rPr>
                <w:rFonts w:ascii="Arial" w:hAnsi="Arial" w:cs="Arial"/>
                <w:color w:val="auto"/>
                <w:szCs w:val="20"/>
                <w:highlight w:val="black"/>
              </w:rPr>
              <w:t>[content redacted]</w:t>
            </w:r>
          </w:p>
          <w:p w:rsidR="0071260D" w:rsidRPr="00E8412E" w:rsidRDefault="0071260D" w:rsidP="001F63F8">
            <w:pPr>
              <w:pStyle w:val="TableText"/>
              <w:keepNext w:val="0"/>
              <w:spacing w:before="0" w:after="0"/>
              <w:jc w:val="both"/>
              <w:rPr>
                <w:rFonts w:ascii="Arial" w:hAnsi="Arial" w:cs="Arial"/>
                <w:color w:val="auto"/>
                <w:szCs w:val="20"/>
              </w:rPr>
            </w:pPr>
          </w:p>
        </w:tc>
      </w:tr>
    </w:tbl>
    <w:p w:rsidR="00A43430" w:rsidRPr="00E8412E" w:rsidRDefault="00547923" w:rsidP="0071260D">
      <w:pPr>
        <w:pStyle w:val="AHPRASubhead"/>
        <w:spacing w:before="200"/>
        <w:jc w:val="both"/>
      </w:pPr>
      <w:r>
        <w:t>Your r</w:t>
      </w:r>
      <w:r w:rsidR="00A43430">
        <w:t xml:space="preserve">esponses to consultation questions </w:t>
      </w:r>
      <w:r w:rsidR="004E13C1">
        <w:t xml:space="preserve">on the draft </w:t>
      </w:r>
      <w:r w:rsidR="00B65321">
        <w:rPr>
          <w:i/>
        </w:rPr>
        <w:t>Professional practice profile for pharmacists undertaking complex compounding</w:t>
      </w:r>
    </w:p>
    <w:tbl>
      <w:tblPr>
        <w:tblStyle w:val="TableGrid"/>
        <w:tblW w:w="4942" w:type="pct"/>
        <w:tblInd w:w="108" w:type="dxa"/>
        <w:tblLook w:val="04A0" w:firstRow="1" w:lastRow="0" w:firstColumn="1" w:lastColumn="0" w:noHBand="0" w:noVBand="1"/>
      </w:tblPr>
      <w:tblGrid>
        <w:gridCol w:w="9135"/>
      </w:tblGrid>
      <w:tr w:rsidR="00547923" w:rsidRPr="0093789E" w:rsidTr="00547923">
        <w:tc>
          <w:tcPr>
            <w:tcW w:w="5000" w:type="pct"/>
            <w:shd w:val="clear" w:color="auto" w:fill="DAEEF3" w:themeFill="accent5" w:themeFillTint="33"/>
          </w:tcPr>
          <w:p w:rsidR="00F65455"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Does the draft practice profile clearly explain its purpose, and how it should be used</w:t>
            </w:r>
            <w:r w:rsidR="00511339">
              <w:rPr>
                <w:rFonts w:ascii="Arial" w:hAnsi="Arial" w:cs="Arial"/>
                <w:szCs w:val="20"/>
              </w:rPr>
              <w:t xml:space="preserve"> in relation to complex compounding</w:t>
            </w:r>
            <w:r>
              <w:rPr>
                <w:rFonts w:ascii="Arial" w:hAnsi="Arial" w:cs="Arial"/>
                <w:szCs w:val="20"/>
              </w:rPr>
              <w:t>?</w:t>
            </w:r>
          </w:p>
        </w:tc>
      </w:tr>
      <w:tr w:rsidR="00547923" w:rsidRPr="00B12E0A" w:rsidTr="00547923">
        <w:tc>
          <w:tcPr>
            <w:tcW w:w="5000" w:type="pct"/>
          </w:tcPr>
          <w:p w:rsidR="00547923" w:rsidRPr="00B12E0A" w:rsidRDefault="00547923" w:rsidP="00547923">
            <w:pPr>
              <w:pStyle w:val="TableText"/>
              <w:keepNext w:val="0"/>
              <w:spacing w:before="0" w:after="0"/>
              <w:jc w:val="both"/>
              <w:rPr>
                <w:rFonts w:ascii="Arial" w:hAnsi="Arial" w:cs="Arial"/>
                <w:color w:val="auto"/>
                <w:szCs w:val="20"/>
              </w:rPr>
            </w:pPr>
          </w:p>
          <w:p w:rsidR="00547923" w:rsidRDefault="00493A0B" w:rsidP="00547923">
            <w:pPr>
              <w:pStyle w:val="TableText"/>
              <w:keepNext w:val="0"/>
              <w:spacing w:before="0" w:after="0"/>
              <w:jc w:val="both"/>
              <w:rPr>
                <w:rFonts w:ascii="Arial" w:hAnsi="Arial" w:cs="Arial"/>
                <w:color w:val="auto"/>
                <w:szCs w:val="20"/>
              </w:rPr>
            </w:pPr>
            <w:r>
              <w:rPr>
                <w:rFonts w:ascii="Arial" w:hAnsi="Arial" w:cs="Arial"/>
                <w:color w:val="auto"/>
                <w:szCs w:val="20"/>
              </w:rPr>
              <w:t>Yes</w:t>
            </w:r>
            <w:r w:rsidR="005727F2">
              <w:rPr>
                <w:rFonts w:ascii="Arial" w:hAnsi="Arial" w:cs="Arial"/>
                <w:color w:val="auto"/>
                <w:szCs w:val="20"/>
              </w:rPr>
              <w:t>.</w:t>
            </w:r>
          </w:p>
          <w:p w:rsidR="005727F2" w:rsidRPr="00B12E0A" w:rsidRDefault="005727F2" w:rsidP="00547923">
            <w:pPr>
              <w:pStyle w:val="TableText"/>
              <w:keepNext w:val="0"/>
              <w:spacing w:before="0" w:after="0"/>
              <w:jc w:val="both"/>
              <w:rPr>
                <w:rFonts w:ascii="Arial" w:hAnsi="Arial" w:cs="Arial"/>
                <w:color w:val="auto"/>
                <w:szCs w:val="20"/>
              </w:rPr>
            </w:pPr>
          </w:p>
          <w:p w:rsidR="00547923" w:rsidRDefault="005727F2" w:rsidP="00A11719">
            <w:pPr>
              <w:pStyle w:val="TableText"/>
              <w:keepNext w:val="0"/>
              <w:spacing w:before="0" w:after="0"/>
              <w:jc w:val="both"/>
              <w:rPr>
                <w:rFonts w:ascii="Arial" w:hAnsi="Arial" w:cs="Arial"/>
                <w:color w:val="auto"/>
              </w:rPr>
            </w:pPr>
            <w:r>
              <w:rPr>
                <w:rFonts w:ascii="Arial" w:hAnsi="Arial" w:cs="Arial"/>
                <w:color w:val="auto"/>
              </w:rPr>
              <w:t xml:space="preserve">However SHPA believes that the document should not be specific for pharmacists “whose sole professional function is to undertake complex compounding” we </w:t>
            </w:r>
            <w:r w:rsidR="001D420C">
              <w:rPr>
                <w:rFonts w:ascii="Arial" w:hAnsi="Arial" w:cs="Arial"/>
                <w:color w:val="auto"/>
              </w:rPr>
              <w:t>believe few</w:t>
            </w:r>
            <w:r>
              <w:rPr>
                <w:rFonts w:ascii="Arial" w:hAnsi="Arial" w:cs="Arial"/>
                <w:color w:val="auto"/>
              </w:rPr>
              <w:t xml:space="preserve"> pharmacist</w:t>
            </w:r>
            <w:r w:rsidR="001D420C">
              <w:rPr>
                <w:rFonts w:ascii="Arial" w:hAnsi="Arial" w:cs="Arial"/>
                <w:color w:val="auto"/>
              </w:rPr>
              <w:t>s</w:t>
            </w:r>
            <w:r>
              <w:rPr>
                <w:rFonts w:ascii="Arial" w:hAnsi="Arial" w:cs="Arial"/>
                <w:color w:val="auto"/>
              </w:rPr>
              <w:t xml:space="preserve"> would have such a </w:t>
            </w:r>
            <w:r w:rsidR="00A11719">
              <w:rPr>
                <w:rFonts w:ascii="Arial" w:hAnsi="Arial" w:cs="Arial"/>
                <w:color w:val="auto"/>
              </w:rPr>
              <w:t xml:space="preserve">narrow </w:t>
            </w:r>
            <w:r>
              <w:rPr>
                <w:rFonts w:ascii="Arial" w:hAnsi="Arial" w:cs="Arial"/>
                <w:color w:val="auto"/>
              </w:rPr>
              <w:t>practice profile.</w:t>
            </w:r>
            <w:r w:rsidR="00A11719">
              <w:rPr>
                <w:rFonts w:ascii="Arial" w:hAnsi="Arial" w:cs="Arial"/>
                <w:color w:val="auto"/>
              </w:rPr>
              <w:t xml:space="preserve">  Most would have other responsibilities such dispensing the compo</w:t>
            </w:r>
            <w:r w:rsidR="00691ACE">
              <w:rPr>
                <w:rFonts w:ascii="Arial" w:hAnsi="Arial" w:cs="Arial"/>
                <w:color w:val="auto"/>
              </w:rPr>
              <w:t>unded medicines or managing this aspect of the pharmacy service.</w:t>
            </w:r>
          </w:p>
          <w:p w:rsidR="00691ACE" w:rsidRDefault="00691ACE" w:rsidP="00A11719">
            <w:pPr>
              <w:pStyle w:val="TableText"/>
              <w:keepNext w:val="0"/>
              <w:spacing w:before="0" w:after="0"/>
              <w:jc w:val="both"/>
              <w:rPr>
                <w:rFonts w:ascii="Arial" w:hAnsi="Arial" w:cs="Arial"/>
                <w:color w:val="auto"/>
              </w:rPr>
            </w:pPr>
          </w:p>
          <w:p w:rsidR="00691ACE" w:rsidRDefault="00691ACE" w:rsidP="00A11719">
            <w:pPr>
              <w:pStyle w:val="TableText"/>
              <w:keepNext w:val="0"/>
              <w:spacing w:before="0" w:after="0"/>
              <w:jc w:val="both"/>
              <w:rPr>
                <w:rFonts w:ascii="Arial" w:hAnsi="Arial" w:cs="Arial"/>
                <w:color w:val="auto"/>
              </w:rPr>
            </w:pPr>
            <w:r>
              <w:rPr>
                <w:rFonts w:ascii="Arial" w:hAnsi="Arial" w:cs="Arial"/>
                <w:color w:val="auto"/>
              </w:rPr>
              <w:t xml:space="preserve">SHPA suggests that the profile be presented in two parts, a profile for pharmacists who: </w:t>
            </w:r>
          </w:p>
          <w:p w:rsidR="001802F4" w:rsidRDefault="001802F4" w:rsidP="001802F4">
            <w:pPr>
              <w:pStyle w:val="TableText"/>
              <w:keepNext w:val="0"/>
              <w:numPr>
                <w:ilvl w:val="0"/>
                <w:numId w:val="10"/>
              </w:numPr>
              <w:spacing w:before="0" w:after="0"/>
              <w:jc w:val="both"/>
              <w:rPr>
                <w:rFonts w:ascii="Arial" w:hAnsi="Arial" w:cs="Arial"/>
                <w:color w:val="auto"/>
              </w:rPr>
            </w:pPr>
            <w:r>
              <w:rPr>
                <w:rFonts w:ascii="Arial" w:hAnsi="Arial" w:cs="Arial"/>
                <w:color w:val="auto"/>
              </w:rPr>
              <w:t xml:space="preserve">are responsible for </w:t>
            </w:r>
            <w:r>
              <w:rPr>
                <w:rFonts w:ascii="Arial" w:hAnsi="Arial" w:cs="Arial"/>
                <w:iCs/>
                <w:color w:val="auto"/>
                <w:szCs w:val="20"/>
              </w:rPr>
              <w:t xml:space="preserve">critical analysis and evaluation of information that supports the formulation and advice on storage conditions, shelf life and administration of compounded medicines and who may also </w:t>
            </w:r>
            <w:r>
              <w:rPr>
                <w:rFonts w:ascii="Arial" w:hAnsi="Arial" w:cs="Arial"/>
                <w:color w:val="auto"/>
              </w:rPr>
              <w:t>have complex compounding included in their job description</w:t>
            </w:r>
          </w:p>
          <w:p w:rsidR="00691ACE" w:rsidRDefault="00691ACE" w:rsidP="00691ACE">
            <w:pPr>
              <w:pStyle w:val="TableText"/>
              <w:keepNext w:val="0"/>
              <w:numPr>
                <w:ilvl w:val="0"/>
                <w:numId w:val="10"/>
              </w:numPr>
              <w:spacing w:before="0" w:after="0"/>
              <w:jc w:val="both"/>
              <w:rPr>
                <w:rFonts w:ascii="Arial" w:hAnsi="Arial" w:cs="Arial"/>
                <w:color w:val="auto"/>
              </w:rPr>
            </w:pPr>
            <w:r>
              <w:rPr>
                <w:rFonts w:ascii="Arial" w:hAnsi="Arial" w:cs="Arial"/>
                <w:color w:val="auto"/>
              </w:rPr>
              <w:t xml:space="preserve">regularly undertake complex compounding / have complex compounding included in their job description </w:t>
            </w:r>
          </w:p>
          <w:p w:rsidR="001D420C" w:rsidRDefault="001802F4" w:rsidP="00A11719">
            <w:pPr>
              <w:pStyle w:val="TableText"/>
              <w:keepNext w:val="0"/>
              <w:spacing w:before="0" w:after="0"/>
              <w:jc w:val="both"/>
              <w:rPr>
                <w:rFonts w:ascii="Arial" w:hAnsi="Arial" w:cs="Arial"/>
                <w:color w:val="auto"/>
              </w:rPr>
            </w:pPr>
            <w:r>
              <w:rPr>
                <w:rFonts w:ascii="Arial" w:hAnsi="Arial" w:cs="Arial"/>
                <w:color w:val="auto"/>
              </w:rPr>
              <w:lastRenderedPageBreak/>
              <w:t xml:space="preserve">We believe the draft competency standards document relates to the first category and may reflect the role and competency requirements for community-based ‘compounding pharmacists’.  </w:t>
            </w:r>
          </w:p>
          <w:p w:rsidR="001D420C" w:rsidRDefault="001D420C" w:rsidP="00A11719">
            <w:pPr>
              <w:pStyle w:val="TableText"/>
              <w:keepNext w:val="0"/>
              <w:spacing w:before="0" w:after="0"/>
              <w:jc w:val="both"/>
              <w:rPr>
                <w:rFonts w:ascii="Arial" w:hAnsi="Arial" w:cs="Arial"/>
                <w:color w:val="auto"/>
              </w:rPr>
            </w:pPr>
          </w:p>
          <w:p w:rsidR="00691ACE" w:rsidRPr="001802F4" w:rsidRDefault="001802F4" w:rsidP="00A11719">
            <w:pPr>
              <w:pStyle w:val="TableText"/>
              <w:keepNext w:val="0"/>
              <w:spacing w:before="0" w:after="0"/>
              <w:jc w:val="both"/>
              <w:rPr>
                <w:rFonts w:ascii="Arial" w:hAnsi="Arial" w:cs="Arial"/>
                <w:b/>
                <w:color w:val="auto"/>
              </w:rPr>
            </w:pPr>
            <w:r w:rsidRPr="001802F4">
              <w:rPr>
                <w:rFonts w:ascii="Arial" w:hAnsi="Arial" w:cs="Arial"/>
                <w:b/>
                <w:color w:val="auto"/>
              </w:rPr>
              <w:t xml:space="preserve">However this approach is inappropriate for most pharmacists who </w:t>
            </w:r>
            <w:r w:rsidR="003A1287">
              <w:rPr>
                <w:rFonts w:ascii="Arial" w:hAnsi="Arial" w:cs="Arial"/>
                <w:b/>
                <w:color w:val="auto"/>
              </w:rPr>
              <w:t xml:space="preserve">undertake </w:t>
            </w:r>
            <w:r w:rsidRPr="001802F4">
              <w:rPr>
                <w:rFonts w:ascii="Arial" w:hAnsi="Arial" w:cs="Arial"/>
                <w:b/>
                <w:color w:val="auto"/>
              </w:rPr>
              <w:t xml:space="preserve">complex compounding </w:t>
            </w:r>
            <w:r w:rsidR="003A1287">
              <w:rPr>
                <w:rFonts w:ascii="Arial" w:hAnsi="Arial" w:cs="Arial"/>
                <w:b/>
                <w:color w:val="auto"/>
              </w:rPr>
              <w:t>as part of</w:t>
            </w:r>
            <w:r w:rsidRPr="001802F4">
              <w:rPr>
                <w:rFonts w:ascii="Arial" w:hAnsi="Arial" w:cs="Arial"/>
                <w:b/>
                <w:color w:val="auto"/>
              </w:rPr>
              <w:t xml:space="preserve"> their job description, particularly pharmacists working in the hospital sector.</w:t>
            </w:r>
            <w:r w:rsidR="003A1287">
              <w:rPr>
                <w:rFonts w:ascii="Arial" w:hAnsi="Arial" w:cs="Arial"/>
                <w:b/>
                <w:color w:val="auto"/>
              </w:rPr>
              <w:t xml:space="preserve">  Nor are they appropriate for hospital-based pharmacists who manage compounding services.</w:t>
            </w:r>
          </w:p>
          <w:p w:rsidR="00A11719" w:rsidRPr="00B12E0A" w:rsidRDefault="00A11719" w:rsidP="00A11719">
            <w:pPr>
              <w:pStyle w:val="TableText"/>
              <w:keepNext w:val="0"/>
              <w:spacing w:before="0" w:after="0"/>
              <w:jc w:val="both"/>
              <w:rPr>
                <w:rFonts w:ascii="Arial" w:hAnsi="Arial" w:cs="Arial"/>
                <w:color w:val="auto"/>
                <w:szCs w:val="20"/>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lastRenderedPageBreak/>
              <w:t>Is there any content that needs to be changed, added or deleted in the draft practice profile</w:t>
            </w:r>
            <w:r w:rsidR="00511339">
              <w:rPr>
                <w:rFonts w:ascii="Arial" w:hAnsi="Arial" w:cs="Arial"/>
                <w:szCs w:val="20"/>
              </w:rPr>
              <w:t xml:space="preserve"> in relation to complex compounding</w:t>
            </w:r>
            <w:r>
              <w:rPr>
                <w:rFonts w:ascii="Arial" w:hAnsi="Arial" w:cs="Arial"/>
                <w:szCs w:val="20"/>
              </w:rPr>
              <w:t>?</w:t>
            </w:r>
          </w:p>
        </w:tc>
      </w:tr>
      <w:tr w:rsidR="00547923" w:rsidRPr="0093789E" w:rsidTr="00547923">
        <w:tc>
          <w:tcPr>
            <w:tcW w:w="5000" w:type="pct"/>
            <w:shd w:val="clear" w:color="auto" w:fill="auto"/>
          </w:tcPr>
          <w:p w:rsidR="00547923" w:rsidRDefault="00547923" w:rsidP="00547923">
            <w:pPr>
              <w:pStyle w:val="TableText"/>
              <w:keepNext w:val="0"/>
              <w:spacing w:before="0" w:after="0"/>
              <w:jc w:val="both"/>
              <w:rPr>
                <w:rFonts w:ascii="Arial" w:hAnsi="Arial" w:cs="Arial"/>
                <w:color w:val="auto"/>
              </w:rPr>
            </w:pPr>
          </w:p>
          <w:p w:rsidR="004142F8" w:rsidRPr="004142F8" w:rsidRDefault="004142F8" w:rsidP="00691ACE">
            <w:pPr>
              <w:pStyle w:val="TableText"/>
              <w:keepNext w:val="0"/>
              <w:spacing w:before="0" w:after="0"/>
              <w:jc w:val="both"/>
              <w:rPr>
                <w:rFonts w:ascii="Arial" w:hAnsi="Arial" w:cs="Arial"/>
                <w:i/>
                <w:iCs/>
                <w:color w:val="auto"/>
                <w:szCs w:val="20"/>
              </w:rPr>
            </w:pPr>
            <w:r w:rsidRPr="004142F8">
              <w:rPr>
                <w:rFonts w:ascii="Arial" w:hAnsi="Arial" w:cs="Arial"/>
                <w:i/>
                <w:iCs/>
                <w:color w:val="auto"/>
                <w:szCs w:val="20"/>
              </w:rPr>
              <w:t>Complex compounding training programs</w:t>
            </w:r>
          </w:p>
          <w:p w:rsidR="001D420C" w:rsidRDefault="004142F8" w:rsidP="004142F8">
            <w:pPr>
              <w:pStyle w:val="TableText"/>
              <w:keepNext w:val="0"/>
              <w:spacing w:before="0" w:after="0"/>
              <w:jc w:val="both"/>
              <w:rPr>
                <w:rFonts w:ascii="Arial" w:hAnsi="Arial" w:cs="Arial"/>
                <w:iCs/>
                <w:color w:val="auto"/>
                <w:szCs w:val="20"/>
              </w:rPr>
            </w:pPr>
            <w:r>
              <w:rPr>
                <w:rFonts w:ascii="Arial" w:hAnsi="Arial" w:cs="Arial"/>
                <w:iCs/>
                <w:color w:val="auto"/>
                <w:szCs w:val="20"/>
              </w:rPr>
              <w:t xml:space="preserve">We believe that this section is unclear with regards to training programs, specifically if the training program is a ‘once off’ or annual requirement for pharmacists and other pharmacy staff.  </w:t>
            </w:r>
          </w:p>
          <w:p w:rsidR="001D420C" w:rsidRDefault="001D420C" w:rsidP="004142F8">
            <w:pPr>
              <w:pStyle w:val="TableText"/>
              <w:keepNext w:val="0"/>
              <w:spacing w:before="0" w:after="0"/>
              <w:jc w:val="both"/>
              <w:rPr>
                <w:rFonts w:ascii="Arial" w:hAnsi="Arial" w:cs="Arial"/>
                <w:iCs/>
                <w:color w:val="auto"/>
                <w:szCs w:val="20"/>
              </w:rPr>
            </w:pPr>
          </w:p>
          <w:p w:rsidR="00245752" w:rsidRPr="00245752" w:rsidRDefault="00245752" w:rsidP="00245752">
            <w:pPr>
              <w:rPr>
                <w:rFonts w:ascii="Tahoma" w:hAnsi="Tahoma" w:cs="Tahoma"/>
                <w:color w:val="000000"/>
                <w:sz w:val="20"/>
                <w:szCs w:val="20"/>
              </w:rPr>
            </w:pPr>
            <w:r w:rsidRPr="00245752">
              <w:rPr>
                <w:rFonts w:ascii="Arial" w:hAnsi="Arial" w:cs="Arial"/>
                <w:iCs/>
                <w:color w:val="000000"/>
                <w:sz w:val="20"/>
                <w:szCs w:val="20"/>
                <w:lang w:eastAsia="en-US"/>
              </w:rPr>
              <w:t>Whilst there is a limited range of training programs regarding compounding techniques SHPA is unaware of any training program regarding the evaluation of the need for a specific compounded medicine and critical analysis and evaluation of information that supports the formulation; and advice on storage conditions and shelf life; and administration of compounded medicines routinely provided</w:t>
            </w:r>
            <w:r>
              <w:rPr>
                <w:rFonts w:ascii="Arial" w:hAnsi="Arial" w:cs="Arial"/>
                <w:iCs/>
                <w:color w:val="000000"/>
                <w:sz w:val="20"/>
                <w:szCs w:val="20"/>
                <w:lang w:eastAsia="en-US"/>
              </w:rPr>
              <w:t xml:space="preserve">; and that are </w:t>
            </w:r>
            <w:r w:rsidRPr="00245752">
              <w:rPr>
                <w:rFonts w:ascii="Arial" w:hAnsi="Arial" w:cs="Arial"/>
                <w:iCs/>
                <w:color w:val="000000"/>
                <w:sz w:val="20"/>
                <w:szCs w:val="20"/>
                <w:lang w:eastAsia="en-US"/>
              </w:rPr>
              <w:t>suitable for hospital pharmacists managing a compounding service.  </w:t>
            </w:r>
          </w:p>
          <w:p w:rsidR="004142F8" w:rsidRDefault="004142F8" w:rsidP="004142F8">
            <w:pPr>
              <w:pStyle w:val="TableText"/>
              <w:keepNext w:val="0"/>
              <w:spacing w:before="0" w:after="0"/>
              <w:jc w:val="both"/>
              <w:rPr>
                <w:rFonts w:ascii="Arial" w:hAnsi="Arial" w:cs="Arial"/>
                <w:iCs/>
                <w:color w:val="auto"/>
                <w:szCs w:val="20"/>
              </w:rPr>
            </w:pPr>
            <w:r>
              <w:rPr>
                <w:rFonts w:ascii="Arial" w:hAnsi="Arial" w:cs="Arial"/>
                <w:iCs/>
                <w:color w:val="auto"/>
                <w:szCs w:val="20"/>
              </w:rPr>
              <w:t>SHPA is also unaware of any training program that would satisfy the requirement of an annual / routine training program</w:t>
            </w:r>
            <w:r w:rsidR="003A1287">
              <w:rPr>
                <w:rFonts w:ascii="Arial" w:hAnsi="Arial" w:cs="Arial"/>
                <w:iCs/>
                <w:color w:val="auto"/>
                <w:szCs w:val="20"/>
              </w:rPr>
              <w:t xml:space="preserve"> for hospital-based pharmacists</w:t>
            </w:r>
            <w:r>
              <w:rPr>
                <w:rFonts w:ascii="Arial" w:hAnsi="Arial" w:cs="Arial"/>
                <w:iCs/>
                <w:color w:val="auto"/>
                <w:szCs w:val="20"/>
              </w:rPr>
              <w:t>.  This is usually assessed through a routine workplace validation process.</w:t>
            </w:r>
          </w:p>
          <w:p w:rsidR="004142F8" w:rsidRDefault="004142F8" w:rsidP="00691ACE">
            <w:pPr>
              <w:pStyle w:val="TableText"/>
              <w:keepNext w:val="0"/>
              <w:spacing w:before="0" w:after="0"/>
              <w:jc w:val="both"/>
              <w:rPr>
                <w:rFonts w:ascii="Arial" w:hAnsi="Arial" w:cs="Arial"/>
                <w:iCs/>
                <w:color w:val="auto"/>
                <w:szCs w:val="20"/>
              </w:rPr>
            </w:pPr>
          </w:p>
          <w:p w:rsidR="003A1287" w:rsidRDefault="003A1287" w:rsidP="003A1287">
            <w:pPr>
              <w:pStyle w:val="TableText"/>
              <w:keepNext w:val="0"/>
              <w:spacing w:before="0" w:after="0"/>
              <w:jc w:val="both"/>
              <w:rPr>
                <w:rFonts w:ascii="Arial" w:hAnsi="Arial" w:cs="Arial"/>
                <w:iCs/>
                <w:color w:val="auto"/>
                <w:szCs w:val="20"/>
              </w:rPr>
            </w:pPr>
            <w:r>
              <w:rPr>
                <w:rFonts w:ascii="Arial" w:hAnsi="Arial" w:cs="Arial"/>
                <w:iCs/>
                <w:color w:val="auto"/>
                <w:szCs w:val="20"/>
              </w:rPr>
              <w:t>We believe this section needs to clarify the requirements for:</w:t>
            </w:r>
          </w:p>
          <w:p w:rsidR="003A1287" w:rsidRDefault="003A1287" w:rsidP="003A1287">
            <w:pPr>
              <w:pStyle w:val="TableText"/>
              <w:keepNext w:val="0"/>
              <w:numPr>
                <w:ilvl w:val="0"/>
                <w:numId w:val="9"/>
              </w:numPr>
              <w:spacing w:before="0" w:after="0"/>
              <w:jc w:val="both"/>
              <w:rPr>
                <w:rFonts w:ascii="Arial" w:hAnsi="Arial" w:cs="Arial"/>
                <w:iCs/>
                <w:color w:val="auto"/>
                <w:szCs w:val="20"/>
              </w:rPr>
            </w:pPr>
            <w:r>
              <w:rPr>
                <w:rFonts w:ascii="Arial" w:hAnsi="Arial" w:cs="Arial"/>
                <w:iCs/>
                <w:color w:val="auto"/>
                <w:szCs w:val="20"/>
              </w:rPr>
              <w:t>initial training regarding compounding techniques which would be applicable to both pharmacists, intern pharmacists and other pharmacy staff</w:t>
            </w:r>
          </w:p>
          <w:p w:rsidR="003A1287" w:rsidRPr="000911F0" w:rsidRDefault="003A1287" w:rsidP="003A1287">
            <w:pPr>
              <w:pStyle w:val="TableText"/>
              <w:keepNext w:val="0"/>
              <w:numPr>
                <w:ilvl w:val="0"/>
                <w:numId w:val="9"/>
              </w:numPr>
              <w:spacing w:before="0" w:after="0"/>
              <w:jc w:val="both"/>
              <w:rPr>
                <w:rFonts w:ascii="Arial" w:hAnsi="Arial" w:cs="Arial"/>
                <w:iCs/>
                <w:color w:val="auto"/>
                <w:szCs w:val="20"/>
              </w:rPr>
            </w:pPr>
            <w:r>
              <w:rPr>
                <w:rFonts w:ascii="Arial" w:hAnsi="Arial" w:cs="Arial"/>
                <w:iCs/>
                <w:color w:val="auto"/>
                <w:szCs w:val="20"/>
              </w:rPr>
              <w:t>ongoing training or competency assessment regarding compounding techniques which would be applicable to both pharmacists, intern pharmacists and other pharmacy staff and what, if any, link there is to usual workplace validation process</w:t>
            </w:r>
            <w:r w:rsidR="00712D18">
              <w:rPr>
                <w:rFonts w:ascii="Arial" w:hAnsi="Arial" w:cs="Arial"/>
                <w:iCs/>
                <w:color w:val="auto"/>
                <w:szCs w:val="20"/>
              </w:rPr>
              <w:t>es</w:t>
            </w:r>
          </w:p>
          <w:p w:rsidR="003A1287" w:rsidRDefault="003A1287" w:rsidP="003A1287">
            <w:pPr>
              <w:pStyle w:val="TableText"/>
              <w:keepNext w:val="0"/>
              <w:numPr>
                <w:ilvl w:val="0"/>
                <w:numId w:val="9"/>
              </w:numPr>
              <w:spacing w:before="0" w:after="0"/>
              <w:jc w:val="both"/>
              <w:rPr>
                <w:rFonts w:ascii="Arial" w:hAnsi="Arial" w:cs="Arial"/>
                <w:iCs/>
                <w:color w:val="auto"/>
                <w:szCs w:val="20"/>
              </w:rPr>
            </w:pPr>
            <w:r>
              <w:rPr>
                <w:rFonts w:ascii="Arial" w:hAnsi="Arial" w:cs="Arial"/>
                <w:iCs/>
                <w:color w:val="auto"/>
                <w:szCs w:val="20"/>
              </w:rPr>
              <w:t>initial training / competence for Standard 5.1 which has a focus on decision making regarding the evaluation of the need for a specific compounded medicine and critical analysis and evaluation of information that supports the formulation and advice on storage conditions and shelf life and administration of compounded medicines which would only be applicable to pharmacists</w:t>
            </w:r>
          </w:p>
          <w:p w:rsidR="003A1287" w:rsidRDefault="003A1287" w:rsidP="003A1287">
            <w:pPr>
              <w:pStyle w:val="TableText"/>
              <w:keepNext w:val="0"/>
              <w:numPr>
                <w:ilvl w:val="0"/>
                <w:numId w:val="9"/>
              </w:numPr>
              <w:spacing w:before="0" w:after="0"/>
              <w:jc w:val="both"/>
              <w:rPr>
                <w:rFonts w:ascii="Arial" w:hAnsi="Arial" w:cs="Arial"/>
                <w:iCs/>
                <w:color w:val="auto"/>
                <w:szCs w:val="20"/>
              </w:rPr>
            </w:pPr>
            <w:r>
              <w:rPr>
                <w:rFonts w:ascii="Arial" w:hAnsi="Arial" w:cs="Arial"/>
                <w:iCs/>
                <w:color w:val="auto"/>
                <w:szCs w:val="20"/>
              </w:rPr>
              <w:t>ongoing competency assessment regarding Standard 5.1 which would only be applicable to pharmacists</w:t>
            </w:r>
          </w:p>
          <w:p w:rsidR="00691ACE" w:rsidRDefault="00691ACE" w:rsidP="00547923">
            <w:pPr>
              <w:pStyle w:val="TableText"/>
              <w:keepNext w:val="0"/>
              <w:spacing w:before="0" w:after="0"/>
              <w:jc w:val="both"/>
              <w:rPr>
                <w:rFonts w:ascii="Arial" w:hAnsi="Arial" w:cs="Arial"/>
                <w:color w:val="auto"/>
              </w:rPr>
            </w:pPr>
          </w:p>
          <w:p w:rsidR="007A61B2" w:rsidRPr="007A61B2" w:rsidRDefault="007A61B2" w:rsidP="00547923">
            <w:pPr>
              <w:pStyle w:val="TableText"/>
              <w:keepNext w:val="0"/>
              <w:spacing w:before="0" w:after="0"/>
              <w:jc w:val="both"/>
              <w:rPr>
                <w:rFonts w:ascii="Arial" w:hAnsi="Arial" w:cs="Arial"/>
                <w:i/>
                <w:color w:val="auto"/>
              </w:rPr>
            </w:pPr>
            <w:r w:rsidRPr="007A61B2">
              <w:rPr>
                <w:rFonts w:ascii="Arial" w:hAnsi="Arial" w:cs="Arial"/>
                <w:i/>
                <w:color w:val="auto"/>
              </w:rPr>
              <w:t>Competency Standards for Complex Compounding</w:t>
            </w:r>
          </w:p>
          <w:p w:rsidR="007A61B2" w:rsidRDefault="003963FB" w:rsidP="00547923">
            <w:pPr>
              <w:pStyle w:val="TableText"/>
              <w:keepNext w:val="0"/>
              <w:spacing w:before="0" w:after="0"/>
              <w:jc w:val="both"/>
              <w:rPr>
                <w:rFonts w:ascii="Arial" w:hAnsi="Arial" w:cs="Arial"/>
                <w:color w:val="auto"/>
              </w:rPr>
            </w:pPr>
            <w:r>
              <w:rPr>
                <w:rFonts w:ascii="Arial" w:hAnsi="Arial" w:cs="Arial"/>
                <w:color w:val="auto"/>
              </w:rPr>
              <w:t>D</w:t>
            </w:r>
            <w:r w:rsidR="007A61B2">
              <w:rPr>
                <w:rFonts w:ascii="Arial" w:hAnsi="Arial" w:cs="Arial"/>
                <w:color w:val="auto"/>
              </w:rPr>
              <w:t>omains 1 and 2</w:t>
            </w:r>
          </w:p>
          <w:p w:rsidR="007A61B2" w:rsidRDefault="007A61B2" w:rsidP="00547923">
            <w:pPr>
              <w:pStyle w:val="TableText"/>
              <w:keepNext w:val="0"/>
              <w:spacing w:before="0" w:after="0"/>
              <w:jc w:val="both"/>
              <w:rPr>
                <w:rFonts w:ascii="Arial" w:hAnsi="Arial" w:cs="Arial"/>
                <w:color w:val="auto"/>
              </w:rPr>
            </w:pPr>
            <w:r>
              <w:rPr>
                <w:rFonts w:ascii="Arial" w:hAnsi="Arial" w:cs="Arial"/>
                <w:color w:val="auto"/>
              </w:rPr>
              <w:t xml:space="preserve">As these competencies are </w:t>
            </w:r>
            <w:r w:rsidR="0003785A">
              <w:rPr>
                <w:rFonts w:ascii="Arial" w:hAnsi="Arial" w:cs="Arial"/>
                <w:color w:val="auto"/>
              </w:rPr>
              <w:t xml:space="preserve">mandatory and applicable </w:t>
            </w:r>
            <w:r w:rsidR="002742A6">
              <w:rPr>
                <w:rFonts w:ascii="Arial" w:hAnsi="Arial" w:cs="Arial"/>
                <w:color w:val="auto"/>
              </w:rPr>
              <w:t xml:space="preserve">to all pharmacists in principle they should not altered.  We suggest that rather changing the evidence examples from the </w:t>
            </w:r>
            <w:r w:rsidR="002742A6" w:rsidRPr="00877326">
              <w:rPr>
                <w:rFonts w:ascii="Arial" w:hAnsi="Arial" w:cs="Arial"/>
                <w:i/>
                <w:color w:val="auto"/>
                <w:szCs w:val="20"/>
              </w:rPr>
              <w:t>National Competency Standards Framework for Pharmacists in Australia</w:t>
            </w:r>
            <w:r w:rsidR="002742A6">
              <w:rPr>
                <w:rFonts w:ascii="Arial" w:hAnsi="Arial" w:cs="Arial"/>
                <w:color w:val="auto"/>
                <w:szCs w:val="20"/>
              </w:rPr>
              <w:t xml:space="preserve"> </w:t>
            </w:r>
            <w:r w:rsidR="002742A6">
              <w:rPr>
                <w:rFonts w:ascii="Arial" w:hAnsi="Arial" w:cs="Arial"/>
                <w:color w:val="auto"/>
              </w:rPr>
              <w:t>to compounding-specific statements that additional statements be added to the evidence examples</w:t>
            </w:r>
            <w:r w:rsidR="003A1287">
              <w:rPr>
                <w:rFonts w:ascii="Arial" w:hAnsi="Arial" w:cs="Arial"/>
                <w:color w:val="auto"/>
              </w:rPr>
              <w:t xml:space="preserve"> where they are required</w:t>
            </w:r>
            <w:r w:rsidR="002742A6">
              <w:rPr>
                <w:rFonts w:ascii="Arial" w:hAnsi="Arial" w:cs="Arial"/>
                <w:color w:val="auto"/>
              </w:rPr>
              <w:t xml:space="preserve">. </w:t>
            </w:r>
          </w:p>
          <w:p w:rsidR="002742A6" w:rsidRDefault="002742A6" w:rsidP="00547923">
            <w:pPr>
              <w:pStyle w:val="TableText"/>
              <w:keepNext w:val="0"/>
              <w:spacing w:before="0" w:after="0"/>
              <w:jc w:val="both"/>
              <w:rPr>
                <w:rFonts w:ascii="Arial" w:hAnsi="Arial" w:cs="Arial"/>
                <w:color w:val="auto"/>
              </w:rPr>
            </w:pPr>
          </w:p>
          <w:p w:rsidR="002742A6" w:rsidRDefault="001B6023" w:rsidP="00547923">
            <w:pPr>
              <w:pStyle w:val="TableText"/>
              <w:keepNext w:val="0"/>
              <w:spacing w:before="0" w:after="0"/>
              <w:jc w:val="both"/>
              <w:rPr>
                <w:rFonts w:ascii="Arial" w:hAnsi="Arial" w:cs="Arial"/>
                <w:color w:val="auto"/>
              </w:rPr>
            </w:pPr>
            <w:r>
              <w:rPr>
                <w:rFonts w:ascii="Arial" w:hAnsi="Arial" w:cs="Arial"/>
                <w:color w:val="auto"/>
              </w:rPr>
              <w:t>Standard</w:t>
            </w:r>
            <w:r w:rsidR="002742A6">
              <w:rPr>
                <w:rFonts w:ascii="Arial" w:hAnsi="Arial" w:cs="Arial"/>
                <w:color w:val="auto"/>
              </w:rPr>
              <w:t xml:space="preserve"> 5</w:t>
            </w:r>
            <w:r w:rsidR="00BA5655">
              <w:rPr>
                <w:rFonts w:ascii="Arial" w:hAnsi="Arial" w:cs="Arial"/>
                <w:color w:val="auto"/>
              </w:rPr>
              <w:t>.1</w:t>
            </w:r>
          </w:p>
          <w:p w:rsidR="00FA7A69" w:rsidRDefault="00FA7A69" w:rsidP="00FA7A69">
            <w:pPr>
              <w:pStyle w:val="TableText"/>
              <w:keepNext w:val="0"/>
              <w:numPr>
                <w:ilvl w:val="0"/>
                <w:numId w:val="11"/>
              </w:numPr>
              <w:spacing w:before="0" w:after="0"/>
              <w:jc w:val="both"/>
              <w:rPr>
                <w:rFonts w:ascii="Arial" w:hAnsi="Arial" w:cs="Arial"/>
                <w:color w:val="auto"/>
              </w:rPr>
            </w:pPr>
            <w:r>
              <w:rPr>
                <w:rFonts w:ascii="Arial" w:hAnsi="Arial" w:cs="Arial"/>
                <w:color w:val="auto"/>
              </w:rPr>
              <w:t>Element 1 could be strengthened to cover the requirements for workplace policies and procedures as well as equipment and consumables availability</w:t>
            </w:r>
            <w:r w:rsidR="005B3BEC">
              <w:rPr>
                <w:rFonts w:ascii="Arial" w:hAnsi="Arial" w:cs="Arial"/>
                <w:color w:val="auto"/>
              </w:rPr>
              <w:t xml:space="preserve">, the management of waste and hazardous waste and the maintenance of facilities </w:t>
            </w:r>
            <w:r>
              <w:rPr>
                <w:rFonts w:ascii="Arial" w:hAnsi="Arial" w:cs="Arial"/>
                <w:color w:val="auto"/>
              </w:rPr>
              <w:t xml:space="preserve">for the routine compounding of a product as well as decisions regarding ad hoc products.  This is needed to support the activities listed in </w:t>
            </w:r>
            <w:r w:rsidR="008C51A8">
              <w:rPr>
                <w:rFonts w:ascii="Arial" w:hAnsi="Arial" w:cs="Arial"/>
                <w:color w:val="auto"/>
              </w:rPr>
              <w:t xml:space="preserve">Standards </w:t>
            </w:r>
            <w:r>
              <w:rPr>
                <w:rFonts w:ascii="Arial" w:hAnsi="Arial" w:cs="Arial"/>
                <w:color w:val="auto"/>
              </w:rPr>
              <w:t>5.3 and 5.4.</w:t>
            </w:r>
          </w:p>
          <w:p w:rsidR="001B6023" w:rsidRDefault="001B6023" w:rsidP="00FA7A69">
            <w:pPr>
              <w:pStyle w:val="TableText"/>
              <w:keepNext w:val="0"/>
              <w:numPr>
                <w:ilvl w:val="0"/>
                <w:numId w:val="11"/>
              </w:numPr>
              <w:spacing w:before="0" w:after="0"/>
              <w:jc w:val="both"/>
              <w:rPr>
                <w:rFonts w:ascii="Arial" w:hAnsi="Arial" w:cs="Arial"/>
                <w:color w:val="auto"/>
              </w:rPr>
            </w:pPr>
            <w:r>
              <w:rPr>
                <w:rFonts w:ascii="Arial" w:hAnsi="Arial" w:cs="Arial"/>
                <w:color w:val="auto"/>
              </w:rPr>
              <w:t xml:space="preserve">Element 1 should include the training, management and competency assessment of pharmacists </w:t>
            </w:r>
            <w:r w:rsidR="008C51A8">
              <w:rPr>
                <w:rFonts w:ascii="Arial" w:hAnsi="Arial" w:cs="Arial"/>
                <w:color w:val="auto"/>
              </w:rPr>
              <w:t xml:space="preserve">and </w:t>
            </w:r>
            <w:r>
              <w:rPr>
                <w:rFonts w:ascii="Arial" w:hAnsi="Arial" w:cs="Arial"/>
                <w:color w:val="auto"/>
              </w:rPr>
              <w:t xml:space="preserve">non-pharmacists that perform the physical compounding of products under their </w:t>
            </w:r>
            <w:r w:rsidR="001D420C">
              <w:rPr>
                <w:rFonts w:ascii="Arial" w:hAnsi="Arial" w:cs="Arial"/>
                <w:color w:val="auto"/>
              </w:rPr>
              <w:t xml:space="preserve">direct and indirect </w:t>
            </w:r>
            <w:r>
              <w:rPr>
                <w:rFonts w:ascii="Arial" w:hAnsi="Arial" w:cs="Arial"/>
                <w:color w:val="auto"/>
              </w:rPr>
              <w:t>supervision.</w:t>
            </w:r>
            <w:r w:rsidR="006D251F">
              <w:rPr>
                <w:rFonts w:ascii="Arial" w:hAnsi="Arial" w:cs="Arial"/>
                <w:color w:val="auto"/>
              </w:rPr>
              <w:t xml:space="preserve">  It should also include the management of issues / circumstances that would preclude personal involvement in the preparation of cytotoxic products and other hazardous materials. </w:t>
            </w:r>
          </w:p>
          <w:p w:rsidR="001B6023" w:rsidRDefault="001B6023" w:rsidP="00FA7A69">
            <w:pPr>
              <w:pStyle w:val="TableText"/>
              <w:keepNext w:val="0"/>
              <w:numPr>
                <w:ilvl w:val="0"/>
                <w:numId w:val="11"/>
              </w:numPr>
              <w:spacing w:before="0" w:after="0"/>
              <w:jc w:val="both"/>
              <w:rPr>
                <w:rFonts w:ascii="Arial" w:hAnsi="Arial" w:cs="Arial"/>
                <w:color w:val="auto"/>
              </w:rPr>
            </w:pPr>
            <w:r>
              <w:rPr>
                <w:rFonts w:ascii="Arial" w:hAnsi="Arial" w:cs="Arial"/>
                <w:color w:val="auto"/>
              </w:rPr>
              <w:t>Pharmacists who manage complex compounding services in hospitals are also required to manage services from external contractors; we believe that it is worth including a statement regarding the appropriate management of contracted products or raw materials.</w:t>
            </w:r>
          </w:p>
          <w:p w:rsidR="001B6023" w:rsidRDefault="001B6023" w:rsidP="00FA7A69">
            <w:pPr>
              <w:pStyle w:val="TableText"/>
              <w:keepNext w:val="0"/>
              <w:numPr>
                <w:ilvl w:val="0"/>
                <w:numId w:val="11"/>
              </w:numPr>
              <w:spacing w:before="0" w:after="0"/>
              <w:jc w:val="both"/>
              <w:rPr>
                <w:rFonts w:ascii="Arial" w:hAnsi="Arial" w:cs="Arial"/>
                <w:color w:val="auto"/>
              </w:rPr>
            </w:pPr>
            <w:r>
              <w:rPr>
                <w:rFonts w:ascii="Arial" w:hAnsi="Arial" w:cs="Arial"/>
                <w:color w:val="auto"/>
              </w:rPr>
              <w:t>Element 1 should include the management of the recall of any product compounded</w:t>
            </w:r>
            <w:r w:rsidR="00AE151F">
              <w:rPr>
                <w:rFonts w:ascii="Arial" w:hAnsi="Arial" w:cs="Arial"/>
                <w:color w:val="auto"/>
              </w:rPr>
              <w:t xml:space="preserve"> including appropriate recording to enable the tracking of all products to specific consumers</w:t>
            </w:r>
            <w:r>
              <w:rPr>
                <w:rFonts w:ascii="Arial" w:hAnsi="Arial" w:cs="Arial"/>
                <w:color w:val="auto"/>
              </w:rPr>
              <w:t>.</w:t>
            </w:r>
          </w:p>
          <w:p w:rsidR="00FA7A69" w:rsidRDefault="00FA7A69" w:rsidP="00FA7A69">
            <w:pPr>
              <w:pStyle w:val="TableText"/>
              <w:keepNext w:val="0"/>
              <w:numPr>
                <w:ilvl w:val="0"/>
                <w:numId w:val="11"/>
              </w:numPr>
              <w:spacing w:before="0" w:after="0"/>
              <w:jc w:val="both"/>
              <w:rPr>
                <w:rFonts w:ascii="Arial" w:hAnsi="Arial" w:cs="Arial"/>
                <w:color w:val="auto"/>
              </w:rPr>
            </w:pPr>
            <w:r>
              <w:rPr>
                <w:rFonts w:ascii="Arial" w:hAnsi="Arial" w:cs="Arial"/>
                <w:color w:val="auto"/>
              </w:rPr>
              <w:lastRenderedPageBreak/>
              <w:t xml:space="preserve">Element 2 could be strengthened to cover decisions regarding the routine compounding of a product as well as decisions regarding ad hoc products. </w:t>
            </w:r>
          </w:p>
          <w:p w:rsidR="00BA5655" w:rsidRDefault="00BA5655" w:rsidP="00BA5655">
            <w:pPr>
              <w:pStyle w:val="TableText"/>
              <w:keepNext w:val="0"/>
              <w:numPr>
                <w:ilvl w:val="0"/>
                <w:numId w:val="11"/>
              </w:numPr>
              <w:spacing w:before="0" w:after="0"/>
              <w:jc w:val="both"/>
              <w:rPr>
                <w:rFonts w:ascii="Arial" w:hAnsi="Arial" w:cs="Arial"/>
                <w:color w:val="auto"/>
              </w:rPr>
            </w:pPr>
            <w:r>
              <w:rPr>
                <w:rFonts w:ascii="Arial" w:hAnsi="Arial" w:cs="Arial"/>
                <w:color w:val="auto"/>
              </w:rPr>
              <w:t>Element 3 should be expanded to include the identification of suitable containers, storage conditions, expiry date and details of the method of administration (e.g. to be infused over 4 hours)</w:t>
            </w:r>
          </w:p>
          <w:p w:rsidR="002742A6" w:rsidRDefault="00BA5655" w:rsidP="00BA5655">
            <w:pPr>
              <w:pStyle w:val="TableText"/>
              <w:keepNext w:val="0"/>
              <w:numPr>
                <w:ilvl w:val="0"/>
                <w:numId w:val="11"/>
              </w:numPr>
              <w:spacing w:before="0" w:after="0"/>
              <w:jc w:val="both"/>
              <w:rPr>
                <w:rFonts w:ascii="Arial" w:hAnsi="Arial" w:cs="Arial"/>
                <w:color w:val="auto"/>
              </w:rPr>
            </w:pPr>
            <w:r>
              <w:rPr>
                <w:rFonts w:ascii="Arial" w:hAnsi="Arial" w:cs="Arial"/>
                <w:color w:val="auto"/>
              </w:rPr>
              <w:t>Element 5 needs to be expanded to include the production of master worksheets for products that are routinely supplied which can then be used as</w:t>
            </w:r>
            <w:r w:rsidR="008C51A8">
              <w:rPr>
                <w:rFonts w:ascii="Arial" w:hAnsi="Arial" w:cs="Arial"/>
                <w:color w:val="auto"/>
              </w:rPr>
              <w:t xml:space="preserve"> the basis for the worksheet</w:t>
            </w:r>
            <w:r>
              <w:rPr>
                <w:rFonts w:ascii="Arial" w:hAnsi="Arial" w:cs="Arial"/>
                <w:color w:val="auto"/>
              </w:rPr>
              <w:t xml:space="preserve"> each </w:t>
            </w:r>
            <w:r w:rsidR="008C51A8">
              <w:rPr>
                <w:rFonts w:ascii="Arial" w:hAnsi="Arial" w:cs="Arial"/>
                <w:color w:val="auto"/>
              </w:rPr>
              <w:t>time the product is compounded</w:t>
            </w:r>
            <w:r>
              <w:rPr>
                <w:rFonts w:ascii="Arial" w:hAnsi="Arial" w:cs="Arial"/>
                <w:color w:val="auto"/>
              </w:rPr>
              <w:t xml:space="preserve">.  </w:t>
            </w:r>
          </w:p>
          <w:p w:rsidR="00BA5655" w:rsidRDefault="00BA5655" w:rsidP="00547923">
            <w:pPr>
              <w:pStyle w:val="TableText"/>
              <w:keepNext w:val="0"/>
              <w:spacing w:before="0" w:after="0"/>
              <w:jc w:val="both"/>
              <w:rPr>
                <w:rFonts w:ascii="Arial" w:hAnsi="Arial" w:cs="Arial"/>
                <w:color w:val="auto"/>
              </w:rPr>
            </w:pPr>
          </w:p>
          <w:p w:rsidR="007A61B2" w:rsidRDefault="001B6023" w:rsidP="00547923">
            <w:pPr>
              <w:pStyle w:val="TableText"/>
              <w:keepNext w:val="0"/>
              <w:spacing w:before="0" w:after="0"/>
              <w:jc w:val="both"/>
              <w:rPr>
                <w:rFonts w:ascii="Arial" w:hAnsi="Arial" w:cs="Arial"/>
                <w:color w:val="auto"/>
              </w:rPr>
            </w:pPr>
            <w:r>
              <w:rPr>
                <w:rFonts w:ascii="Arial" w:hAnsi="Arial" w:cs="Arial"/>
                <w:color w:val="auto"/>
              </w:rPr>
              <w:t>Standard</w:t>
            </w:r>
            <w:r w:rsidR="00BA5655">
              <w:rPr>
                <w:rFonts w:ascii="Arial" w:hAnsi="Arial" w:cs="Arial"/>
                <w:color w:val="auto"/>
              </w:rPr>
              <w:t xml:space="preserve"> 5.2</w:t>
            </w:r>
          </w:p>
          <w:p w:rsidR="00BA5655" w:rsidRDefault="00BA5655" w:rsidP="00BA5655">
            <w:pPr>
              <w:pStyle w:val="TableText"/>
              <w:keepNext w:val="0"/>
              <w:numPr>
                <w:ilvl w:val="0"/>
                <w:numId w:val="12"/>
              </w:numPr>
              <w:spacing w:before="0" w:after="0"/>
              <w:jc w:val="both"/>
              <w:rPr>
                <w:rFonts w:ascii="Arial" w:hAnsi="Arial" w:cs="Arial"/>
                <w:color w:val="auto"/>
              </w:rPr>
            </w:pPr>
            <w:r>
              <w:rPr>
                <w:rFonts w:ascii="Arial" w:hAnsi="Arial" w:cs="Arial"/>
                <w:color w:val="auto"/>
              </w:rPr>
              <w:t>Element 2 should include evidence statements for both simple and complex compounding.</w:t>
            </w:r>
          </w:p>
          <w:p w:rsidR="00BA5655" w:rsidRDefault="00BA5655" w:rsidP="00BA5655">
            <w:pPr>
              <w:pStyle w:val="TableText"/>
              <w:keepNext w:val="0"/>
              <w:spacing w:before="0" w:after="0"/>
              <w:jc w:val="both"/>
              <w:rPr>
                <w:rFonts w:ascii="Arial" w:hAnsi="Arial" w:cs="Arial"/>
                <w:color w:val="auto"/>
              </w:rPr>
            </w:pPr>
          </w:p>
          <w:p w:rsidR="00591B54" w:rsidRDefault="001B6023" w:rsidP="00BA5655">
            <w:pPr>
              <w:pStyle w:val="TableText"/>
              <w:keepNext w:val="0"/>
              <w:spacing w:before="0" w:after="0"/>
              <w:jc w:val="both"/>
              <w:rPr>
                <w:rFonts w:ascii="Arial" w:hAnsi="Arial" w:cs="Arial"/>
                <w:color w:val="auto"/>
              </w:rPr>
            </w:pPr>
            <w:r>
              <w:rPr>
                <w:rFonts w:ascii="Arial" w:hAnsi="Arial" w:cs="Arial"/>
                <w:color w:val="auto"/>
              </w:rPr>
              <w:t>Standard</w:t>
            </w:r>
            <w:r w:rsidR="00591B54">
              <w:rPr>
                <w:rFonts w:ascii="Arial" w:hAnsi="Arial" w:cs="Arial"/>
                <w:color w:val="auto"/>
              </w:rPr>
              <w:t xml:space="preserve"> 5.3</w:t>
            </w:r>
          </w:p>
          <w:p w:rsidR="00591B54" w:rsidRDefault="00591B54" w:rsidP="00591B54">
            <w:pPr>
              <w:pStyle w:val="TableText"/>
              <w:keepNext w:val="0"/>
              <w:numPr>
                <w:ilvl w:val="0"/>
                <w:numId w:val="12"/>
              </w:numPr>
              <w:spacing w:before="0" w:after="0"/>
              <w:jc w:val="both"/>
              <w:rPr>
                <w:rFonts w:ascii="Arial" w:hAnsi="Arial" w:cs="Arial"/>
                <w:color w:val="auto"/>
              </w:rPr>
            </w:pPr>
            <w:r>
              <w:rPr>
                <w:rFonts w:ascii="Arial" w:hAnsi="Arial" w:cs="Arial"/>
                <w:color w:val="auto"/>
              </w:rPr>
              <w:t xml:space="preserve">Element 1 needs to include additional performance criteria regarding the management of the work environment (i.e. not just the principles of the operation of a clean room), </w:t>
            </w:r>
            <w:r w:rsidR="00F8154A">
              <w:rPr>
                <w:rFonts w:ascii="Arial" w:hAnsi="Arial" w:cs="Arial"/>
                <w:color w:val="auto"/>
              </w:rPr>
              <w:t xml:space="preserve">infection control and cleaning procedures, </w:t>
            </w:r>
            <w:r>
              <w:rPr>
                <w:rFonts w:ascii="Arial" w:hAnsi="Arial" w:cs="Arial"/>
                <w:color w:val="auto"/>
              </w:rPr>
              <w:t xml:space="preserve">training and / or supervision of other staff, the management of </w:t>
            </w:r>
            <w:r w:rsidR="00712D18">
              <w:rPr>
                <w:rFonts w:ascii="Arial" w:hAnsi="Arial" w:cs="Arial"/>
                <w:color w:val="auto"/>
              </w:rPr>
              <w:t>workplace v</w:t>
            </w:r>
            <w:r>
              <w:rPr>
                <w:rFonts w:ascii="Arial" w:hAnsi="Arial" w:cs="Arial"/>
                <w:color w:val="auto"/>
              </w:rPr>
              <w:t>alidation process</w:t>
            </w:r>
            <w:r w:rsidR="00712D18">
              <w:rPr>
                <w:rFonts w:ascii="Arial" w:hAnsi="Arial" w:cs="Arial"/>
                <w:color w:val="auto"/>
              </w:rPr>
              <w:t>es</w:t>
            </w:r>
            <w:r>
              <w:rPr>
                <w:rFonts w:ascii="Arial" w:hAnsi="Arial" w:cs="Arial"/>
                <w:color w:val="auto"/>
              </w:rPr>
              <w:t xml:space="preserve"> for other staff members</w:t>
            </w:r>
            <w:r w:rsidR="00F8154A">
              <w:rPr>
                <w:rFonts w:ascii="Arial" w:hAnsi="Arial" w:cs="Arial"/>
                <w:color w:val="auto"/>
              </w:rPr>
              <w:t xml:space="preserve"> etc.</w:t>
            </w:r>
          </w:p>
          <w:p w:rsidR="00FA7A69" w:rsidRDefault="00FA7A69" w:rsidP="00591B54">
            <w:pPr>
              <w:pStyle w:val="TableText"/>
              <w:keepNext w:val="0"/>
              <w:numPr>
                <w:ilvl w:val="0"/>
                <w:numId w:val="12"/>
              </w:numPr>
              <w:spacing w:before="0" w:after="0"/>
              <w:jc w:val="both"/>
              <w:rPr>
                <w:rFonts w:ascii="Arial" w:hAnsi="Arial" w:cs="Arial"/>
                <w:color w:val="auto"/>
              </w:rPr>
            </w:pPr>
            <w:r>
              <w:rPr>
                <w:rFonts w:ascii="Arial" w:hAnsi="Arial" w:cs="Arial"/>
                <w:color w:val="auto"/>
              </w:rPr>
              <w:t>The wording of Element 2 performance criteria 2 should be</w:t>
            </w:r>
            <w:r w:rsidR="008C51A8">
              <w:rPr>
                <w:rFonts w:ascii="Arial" w:hAnsi="Arial" w:cs="Arial"/>
                <w:color w:val="auto"/>
              </w:rPr>
              <w:t>:</w:t>
            </w:r>
            <w:r>
              <w:rPr>
                <w:rFonts w:ascii="Arial" w:hAnsi="Arial" w:cs="Arial"/>
                <w:color w:val="auto"/>
              </w:rPr>
              <w:t xml:space="preserve"> (e.g. by ensuring maintenance of the sterility of gloves during the gowning process)</w:t>
            </w:r>
            <w:r w:rsidR="005B3BEC">
              <w:rPr>
                <w:rFonts w:ascii="Arial" w:hAnsi="Arial" w:cs="Arial"/>
                <w:color w:val="auto"/>
              </w:rPr>
              <w:t>.</w:t>
            </w:r>
          </w:p>
          <w:p w:rsidR="001B6023" w:rsidRPr="005B3BEC" w:rsidRDefault="001B6023" w:rsidP="001B6023">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eastAsiaTheme="minorHAnsi" w:hAnsi="Arial" w:cs="Arial"/>
                <w:sz w:val="20"/>
                <w:szCs w:val="20"/>
              </w:rPr>
              <w:t>Element 6 require</w:t>
            </w:r>
            <w:r w:rsidR="006D251F">
              <w:rPr>
                <w:rFonts w:ascii="Arial" w:eastAsiaTheme="minorHAnsi" w:hAnsi="Arial" w:cs="Arial"/>
                <w:sz w:val="20"/>
                <w:szCs w:val="20"/>
              </w:rPr>
              <w:t>s</w:t>
            </w:r>
            <w:r>
              <w:rPr>
                <w:rFonts w:ascii="Arial" w:eastAsiaTheme="minorHAnsi" w:hAnsi="Arial" w:cs="Arial"/>
                <w:sz w:val="20"/>
                <w:szCs w:val="20"/>
              </w:rPr>
              <w:t xml:space="preserve"> greater reference to the quarantine or other quality control activities for products such as sterility testing and operator validation processes where this is required according to the master worksheet</w:t>
            </w:r>
            <w:r w:rsidR="008C51A8">
              <w:rPr>
                <w:rFonts w:ascii="Arial" w:eastAsiaTheme="minorHAnsi" w:hAnsi="Arial" w:cs="Arial"/>
                <w:sz w:val="20"/>
                <w:szCs w:val="20"/>
              </w:rPr>
              <w:t xml:space="preserve"> or routine quality control activities</w:t>
            </w:r>
            <w:r>
              <w:rPr>
                <w:rFonts w:ascii="Arial" w:eastAsiaTheme="minorHAnsi" w:hAnsi="Arial" w:cs="Arial"/>
                <w:sz w:val="20"/>
                <w:szCs w:val="20"/>
              </w:rPr>
              <w:t>.</w:t>
            </w:r>
          </w:p>
          <w:p w:rsidR="005B3BEC" w:rsidRPr="005B3BEC" w:rsidRDefault="005B3BEC" w:rsidP="005B3BEC">
            <w:pPr>
              <w:pStyle w:val="ListParagraph"/>
              <w:numPr>
                <w:ilvl w:val="0"/>
                <w:numId w:val="12"/>
              </w:numPr>
              <w:autoSpaceDE w:val="0"/>
              <w:autoSpaceDN w:val="0"/>
              <w:adjustRightInd w:val="0"/>
              <w:spacing w:after="0" w:line="240" w:lineRule="auto"/>
              <w:rPr>
                <w:rFonts w:ascii="Arial" w:hAnsi="Arial" w:cs="Arial"/>
                <w:sz w:val="20"/>
                <w:szCs w:val="20"/>
              </w:rPr>
            </w:pPr>
            <w:r w:rsidRPr="005B3BEC">
              <w:rPr>
                <w:rFonts w:ascii="Arial" w:hAnsi="Arial" w:cs="Arial"/>
                <w:sz w:val="20"/>
                <w:szCs w:val="20"/>
              </w:rPr>
              <w:t xml:space="preserve">We suggest use of the term </w:t>
            </w:r>
            <w:r w:rsidRPr="005B3BEC">
              <w:rPr>
                <w:rFonts w:ascii="Arial" w:eastAsiaTheme="minorHAnsi" w:hAnsi="Arial" w:cs="Arial"/>
                <w:sz w:val="20"/>
                <w:szCs w:val="20"/>
              </w:rPr>
              <w:t>Laminar Air Flow Work Station</w:t>
            </w:r>
            <w:r>
              <w:rPr>
                <w:rFonts w:ascii="Arial" w:eastAsiaTheme="minorHAnsi" w:hAnsi="Arial" w:cs="Arial"/>
                <w:sz w:val="20"/>
                <w:szCs w:val="20"/>
              </w:rPr>
              <w:t xml:space="preserve"> rather than laminar airflow cabinet</w:t>
            </w:r>
            <w:r w:rsidR="001B6023">
              <w:rPr>
                <w:rFonts w:ascii="Arial" w:eastAsiaTheme="minorHAnsi" w:hAnsi="Arial" w:cs="Arial"/>
                <w:sz w:val="20"/>
                <w:szCs w:val="20"/>
              </w:rPr>
              <w:t>.</w:t>
            </w:r>
          </w:p>
          <w:p w:rsidR="005B3BEC" w:rsidRPr="00054C81" w:rsidRDefault="001B6023" w:rsidP="005B3BEC">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eastAsiaTheme="minorHAnsi" w:hAnsi="Arial" w:cs="Arial"/>
                <w:sz w:val="20"/>
                <w:szCs w:val="20"/>
              </w:rPr>
              <w:t xml:space="preserve">The </w:t>
            </w:r>
            <w:r w:rsidR="00B1559E">
              <w:rPr>
                <w:rFonts w:ascii="Arial" w:eastAsiaTheme="minorHAnsi" w:hAnsi="Arial" w:cs="Arial"/>
                <w:sz w:val="20"/>
                <w:szCs w:val="20"/>
              </w:rPr>
              <w:t>Standard</w:t>
            </w:r>
            <w:r>
              <w:rPr>
                <w:rFonts w:ascii="Arial" w:eastAsiaTheme="minorHAnsi" w:hAnsi="Arial" w:cs="Arial"/>
                <w:sz w:val="20"/>
                <w:szCs w:val="20"/>
              </w:rPr>
              <w:t xml:space="preserve"> should also</w:t>
            </w:r>
            <w:r w:rsidR="005B3BEC">
              <w:rPr>
                <w:rFonts w:ascii="Arial" w:eastAsiaTheme="minorHAnsi" w:hAnsi="Arial" w:cs="Arial"/>
                <w:sz w:val="20"/>
                <w:szCs w:val="20"/>
              </w:rPr>
              <w:t xml:space="preserve"> </w:t>
            </w:r>
            <w:r>
              <w:rPr>
                <w:rFonts w:ascii="Arial" w:eastAsiaTheme="minorHAnsi" w:hAnsi="Arial" w:cs="Arial"/>
                <w:sz w:val="20"/>
                <w:szCs w:val="20"/>
              </w:rPr>
              <w:t>include</w:t>
            </w:r>
            <w:r w:rsidR="005B3BEC">
              <w:rPr>
                <w:rFonts w:ascii="Arial" w:eastAsiaTheme="minorHAnsi" w:hAnsi="Arial" w:cs="Arial"/>
                <w:sz w:val="20"/>
                <w:szCs w:val="20"/>
              </w:rPr>
              <w:t xml:space="preserve"> </w:t>
            </w:r>
            <w:r>
              <w:rPr>
                <w:rFonts w:ascii="Arial" w:eastAsiaTheme="minorHAnsi" w:hAnsi="Arial" w:cs="Arial"/>
                <w:sz w:val="20"/>
                <w:szCs w:val="20"/>
              </w:rPr>
              <w:t xml:space="preserve">competency for </w:t>
            </w:r>
            <w:r w:rsidR="005B3BEC">
              <w:rPr>
                <w:rFonts w:ascii="Arial" w:eastAsiaTheme="minorHAnsi" w:hAnsi="Arial" w:cs="Arial"/>
                <w:sz w:val="20"/>
                <w:szCs w:val="20"/>
              </w:rPr>
              <w:t xml:space="preserve">double check </w:t>
            </w:r>
            <w:r>
              <w:rPr>
                <w:rFonts w:ascii="Arial" w:eastAsiaTheme="minorHAnsi" w:hAnsi="Arial" w:cs="Arial"/>
                <w:sz w:val="20"/>
                <w:szCs w:val="20"/>
              </w:rPr>
              <w:t>processes</w:t>
            </w:r>
            <w:r w:rsidR="005B3BEC">
              <w:rPr>
                <w:rFonts w:ascii="Arial" w:eastAsiaTheme="minorHAnsi" w:hAnsi="Arial" w:cs="Arial"/>
                <w:sz w:val="20"/>
                <w:szCs w:val="20"/>
              </w:rPr>
              <w:t xml:space="preserve"> </w:t>
            </w:r>
            <w:r>
              <w:rPr>
                <w:rFonts w:ascii="Arial" w:eastAsiaTheme="minorHAnsi" w:hAnsi="Arial" w:cs="Arial"/>
                <w:sz w:val="20"/>
                <w:szCs w:val="20"/>
              </w:rPr>
              <w:t>including how to undertake checking process for work undertaken by another pharmacist or staff under their supervision.</w:t>
            </w:r>
          </w:p>
          <w:p w:rsidR="00054C81" w:rsidRPr="005B3BEC" w:rsidRDefault="00054C81" w:rsidP="005B3BEC">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eastAsiaTheme="minorHAnsi" w:hAnsi="Arial" w:cs="Arial"/>
                <w:sz w:val="20"/>
                <w:szCs w:val="20"/>
              </w:rPr>
              <w:t>In principle the performance criteria in Element 3 of Standard 5.4 are equally applicable to Standard 5.3.</w:t>
            </w:r>
          </w:p>
          <w:p w:rsidR="00547923" w:rsidRDefault="00547923" w:rsidP="00FA7A69">
            <w:pPr>
              <w:pStyle w:val="TableText"/>
              <w:keepNext w:val="0"/>
              <w:spacing w:before="0" w:after="0"/>
              <w:jc w:val="both"/>
              <w:rPr>
                <w:rFonts w:ascii="Arial" w:hAnsi="Arial" w:cs="Arial"/>
                <w:color w:val="auto"/>
              </w:rPr>
            </w:pPr>
          </w:p>
          <w:p w:rsidR="001B6023" w:rsidRDefault="001B6023" w:rsidP="00FA7A69">
            <w:pPr>
              <w:pStyle w:val="TableText"/>
              <w:keepNext w:val="0"/>
              <w:spacing w:before="0" w:after="0"/>
              <w:jc w:val="both"/>
              <w:rPr>
                <w:rFonts w:ascii="Arial" w:hAnsi="Arial" w:cs="Arial"/>
                <w:color w:val="auto"/>
              </w:rPr>
            </w:pPr>
            <w:r>
              <w:rPr>
                <w:rFonts w:ascii="Arial" w:hAnsi="Arial" w:cs="Arial"/>
                <w:color w:val="auto"/>
              </w:rPr>
              <w:t>Standard 5.4</w:t>
            </w:r>
          </w:p>
          <w:p w:rsidR="001B6023" w:rsidRDefault="001B6023" w:rsidP="001B6023">
            <w:pPr>
              <w:pStyle w:val="TableText"/>
              <w:keepNext w:val="0"/>
              <w:numPr>
                <w:ilvl w:val="0"/>
                <w:numId w:val="13"/>
              </w:numPr>
              <w:spacing w:before="0" w:after="0"/>
              <w:jc w:val="both"/>
              <w:rPr>
                <w:rFonts w:ascii="Arial" w:hAnsi="Arial" w:cs="Arial"/>
                <w:color w:val="auto"/>
              </w:rPr>
            </w:pPr>
            <w:r>
              <w:rPr>
                <w:rFonts w:ascii="Arial" w:hAnsi="Arial" w:cs="Arial"/>
                <w:color w:val="auto"/>
              </w:rPr>
              <w:t>Element 1 performance criteria 4 should also include ensuring that all cytotoxic products are packed</w:t>
            </w:r>
            <w:r w:rsidR="00054C81">
              <w:rPr>
                <w:rFonts w:ascii="Arial" w:hAnsi="Arial" w:cs="Arial"/>
                <w:color w:val="auto"/>
              </w:rPr>
              <w:t xml:space="preserve"> in a suitable manner to en</w:t>
            </w:r>
            <w:r w:rsidR="00AE151F">
              <w:rPr>
                <w:rFonts w:ascii="Arial" w:hAnsi="Arial" w:cs="Arial"/>
                <w:color w:val="auto"/>
              </w:rPr>
              <w:t>sure</w:t>
            </w:r>
            <w:r w:rsidR="00054C81">
              <w:rPr>
                <w:rFonts w:ascii="Arial" w:hAnsi="Arial" w:cs="Arial"/>
                <w:color w:val="auto"/>
              </w:rPr>
              <w:t xml:space="preserve"> safe transportation.</w:t>
            </w:r>
          </w:p>
          <w:p w:rsidR="00054C81" w:rsidRDefault="00054C81" w:rsidP="001B6023">
            <w:pPr>
              <w:pStyle w:val="TableText"/>
              <w:keepNext w:val="0"/>
              <w:numPr>
                <w:ilvl w:val="0"/>
                <w:numId w:val="13"/>
              </w:numPr>
              <w:spacing w:before="0" w:after="0"/>
              <w:jc w:val="both"/>
              <w:rPr>
                <w:rFonts w:ascii="Arial" w:hAnsi="Arial" w:cs="Arial"/>
                <w:color w:val="auto"/>
              </w:rPr>
            </w:pPr>
            <w:r>
              <w:rPr>
                <w:rFonts w:ascii="Arial" w:hAnsi="Arial" w:cs="Arial"/>
                <w:color w:val="auto"/>
              </w:rPr>
              <w:t>Element 2 reference to ‘complex compounded products’ is not required; it implies there is a category of non-complex cytotoxic products which is inconsistent with the Guidelines.</w:t>
            </w:r>
          </w:p>
          <w:p w:rsidR="00054C81" w:rsidRDefault="006D251F" w:rsidP="001B6023">
            <w:pPr>
              <w:pStyle w:val="TableText"/>
              <w:keepNext w:val="0"/>
              <w:numPr>
                <w:ilvl w:val="0"/>
                <w:numId w:val="13"/>
              </w:numPr>
              <w:spacing w:before="0" w:after="0"/>
              <w:jc w:val="both"/>
              <w:rPr>
                <w:rFonts w:ascii="Arial" w:hAnsi="Arial" w:cs="Arial"/>
                <w:color w:val="auto"/>
              </w:rPr>
            </w:pPr>
            <w:r>
              <w:rPr>
                <w:rFonts w:ascii="Arial" w:hAnsi="Arial" w:cs="Arial"/>
                <w:color w:val="auto"/>
              </w:rPr>
              <w:t xml:space="preserve">Element 4 </w:t>
            </w:r>
            <w:r w:rsidR="003963FB">
              <w:rPr>
                <w:rFonts w:ascii="Arial" w:hAnsi="Arial" w:cs="Arial"/>
                <w:color w:val="auto"/>
              </w:rPr>
              <w:t>regarding</w:t>
            </w:r>
            <w:r>
              <w:rPr>
                <w:rFonts w:ascii="Arial" w:hAnsi="Arial" w:cs="Arial"/>
                <w:color w:val="auto"/>
              </w:rPr>
              <w:t xml:space="preserve"> non-sterile cytotoxic products, even if the final product does not ha</w:t>
            </w:r>
            <w:r w:rsidR="008C51A8">
              <w:rPr>
                <w:rFonts w:ascii="Arial" w:hAnsi="Arial" w:cs="Arial"/>
                <w:color w:val="auto"/>
              </w:rPr>
              <w:t xml:space="preserve">ve to be </w:t>
            </w:r>
            <w:r>
              <w:rPr>
                <w:rFonts w:ascii="Arial" w:hAnsi="Arial" w:cs="Arial"/>
                <w:color w:val="auto"/>
              </w:rPr>
              <w:t>sterile</w:t>
            </w:r>
            <w:r w:rsidR="00AE151F">
              <w:rPr>
                <w:rFonts w:ascii="Arial" w:hAnsi="Arial" w:cs="Arial"/>
                <w:color w:val="auto"/>
              </w:rPr>
              <w:t>,</w:t>
            </w:r>
            <w:r>
              <w:rPr>
                <w:rFonts w:ascii="Arial" w:hAnsi="Arial" w:cs="Arial"/>
                <w:color w:val="auto"/>
              </w:rPr>
              <w:t xml:space="preserve"> compounding should occur within a suitable preparation area to protect the operator.</w:t>
            </w:r>
          </w:p>
          <w:p w:rsidR="006D251F" w:rsidRPr="005B3BEC" w:rsidRDefault="006D251F" w:rsidP="006D251F">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eastAsiaTheme="minorHAnsi" w:hAnsi="Arial" w:cs="Arial"/>
                <w:sz w:val="20"/>
                <w:szCs w:val="20"/>
              </w:rPr>
              <w:t>Element 4 requires greater reference to the quarantine or other quality control activities for products such as sterility testing and operator validation processes where this is required according to the master worksheet</w:t>
            </w:r>
            <w:r w:rsidR="008C51A8">
              <w:rPr>
                <w:rFonts w:ascii="Arial" w:eastAsiaTheme="minorHAnsi" w:hAnsi="Arial" w:cs="Arial"/>
                <w:sz w:val="20"/>
                <w:szCs w:val="20"/>
              </w:rPr>
              <w:t xml:space="preserve"> or routine quality control activities</w:t>
            </w:r>
            <w:r>
              <w:rPr>
                <w:rFonts w:ascii="Arial" w:eastAsiaTheme="minorHAnsi" w:hAnsi="Arial" w:cs="Arial"/>
                <w:sz w:val="20"/>
                <w:szCs w:val="20"/>
              </w:rPr>
              <w:t>.</w:t>
            </w:r>
          </w:p>
          <w:p w:rsidR="006D251F" w:rsidRPr="00B1559E" w:rsidRDefault="00B1559E" w:rsidP="00B1559E">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eastAsiaTheme="minorHAnsi" w:hAnsi="Arial" w:cs="Arial"/>
                <w:sz w:val="20"/>
                <w:szCs w:val="20"/>
              </w:rPr>
              <w:t xml:space="preserve">The Standard should also include competency for double check processes including how to undertake </w:t>
            </w:r>
            <w:r w:rsidR="00712D18">
              <w:rPr>
                <w:rFonts w:ascii="Arial" w:eastAsiaTheme="minorHAnsi" w:hAnsi="Arial" w:cs="Arial"/>
                <w:sz w:val="20"/>
                <w:szCs w:val="20"/>
              </w:rPr>
              <w:t xml:space="preserve">a </w:t>
            </w:r>
            <w:r>
              <w:rPr>
                <w:rFonts w:ascii="Arial" w:eastAsiaTheme="minorHAnsi" w:hAnsi="Arial" w:cs="Arial"/>
                <w:sz w:val="20"/>
                <w:szCs w:val="20"/>
              </w:rPr>
              <w:t>checking process for work undertaken by another pharmacist or staff under their supervision.</w:t>
            </w:r>
          </w:p>
          <w:p w:rsidR="001B6023" w:rsidRDefault="001B6023" w:rsidP="00FA7A69">
            <w:pPr>
              <w:pStyle w:val="TableText"/>
              <w:keepNext w:val="0"/>
              <w:spacing w:before="0" w:after="0"/>
              <w:jc w:val="both"/>
              <w:rPr>
                <w:rFonts w:ascii="Arial" w:hAnsi="Arial" w:cs="Arial"/>
                <w:color w:val="auto"/>
              </w:rPr>
            </w:pPr>
          </w:p>
          <w:p w:rsidR="00B1559E" w:rsidRPr="0093789E" w:rsidRDefault="00B1559E" w:rsidP="00245752">
            <w:pPr>
              <w:pStyle w:val="TableText"/>
              <w:keepNext w:val="0"/>
              <w:spacing w:before="0" w:after="0"/>
              <w:jc w:val="both"/>
              <w:rPr>
                <w:rFonts w:ascii="Arial" w:hAnsi="Arial" w:cs="Arial"/>
                <w:color w:val="auto"/>
              </w:rPr>
            </w:pPr>
            <w:r>
              <w:rPr>
                <w:rFonts w:ascii="Arial" w:hAnsi="Arial" w:cs="Arial"/>
                <w:color w:val="auto"/>
              </w:rPr>
              <w:t xml:space="preserve">SHPA does not believe </w:t>
            </w:r>
            <w:r w:rsidR="00602C6C">
              <w:rPr>
                <w:rFonts w:ascii="Arial" w:hAnsi="Arial" w:cs="Arial"/>
                <w:color w:val="auto"/>
              </w:rPr>
              <w:t>that Domain 6 should be included in the profile</w:t>
            </w:r>
            <w:r w:rsidR="008C51A8">
              <w:rPr>
                <w:rFonts w:ascii="Arial" w:hAnsi="Arial" w:cs="Arial"/>
                <w:color w:val="auto"/>
              </w:rPr>
              <w:t>.  I</w:t>
            </w:r>
            <w:r w:rsidR="00602C6C">
              <w:rPr>
                <w:rFonts w:ascii="Arial" w:hAnsi="Arial" w:cs="Arial"/>
                <w:color w:val="auto"/>
              </w:rPr>
              <w:t>t is irrelevant to hospital-based pharmacists</w:t>
            </w:r>
            <w:r w:rsidR="008C51A8">
              <w:rPr>
                <w:rFonts w:ascii="Arial" w:hAnsi="Arial" w:cs="Arial"/>
                <w:color w:val="auto"/>
              </w:rPr>
              <w:t xml:space="preserve"> and inconsistent with the stated purpose of the practice profile</w:t>
            </w:r>
            <w:r w:rsidR="00602C6C">
              <w:rPr>
                <w:rFonts w:ascii="Arial" w:hAnsi="Arial" w:cs="Arial"/>
                <w:color w:val="auto"/>
              </w:rPr>
              <w:t>.</w:t>
            </w: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lastRenderedPageBreak/>
              <w:t>Do you have any suggestions for questions to be answered in Frequently Asked Questions developed by the Board, to assist pharmacists in using the practice profile</w:t>
            </w:r>
            <w:r w:rsidR="00511339">
              <w:rPr>
                <w:rFonts w:ascii="Arial" w:hAnsi="Arial" w:cs="Arial"/>
                <w:szCs w:val="20"/>
              </w:rPr>
              <w:t xml:space="preserve"> for complex compounding</w:t>
            </w:r>
            <w:r>
              <w:rPr>
                <w:rFonts w:ascii="Arial" w:hAnsi="Arial" w:cs="Arial"/>
                <w:szCs w:val="20"/>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3963FB" w:rsidRPr="0093789E" w:rsidRDefault="00602C6C" w:rsidP="00AE151F">
            <w:pPr>
              <w:pStyle w:val="TableText"/>
              <w:keepNext w:val="0"/>
              <w:spacing w:before="0" w:after="0"/>
              <w:jc w:val="both"/>
              <w:rPr>
                <w:rFonts w:ascii="Arial" w:hAnsi="Arial" w:cs="Arial"/>
                <w:color w:val="auto"/>
              </w:rPr>
            </w:pPr>
            <w:r>
              <w:rPr>
                <w:rFonts w:ascii="Arial" w:hAnsi="Arial" w:cs="Arial"/>
              </w:rPr>
              <w:t xml:space="preserve">The FAQs should include questions from the perspective of pharmacists, pharmacy interns and other pharmacy staff that perform the physical compounding of medicines and from the perspective of those pharmacists with a practice area that focuses on the </w:t>
            </w:r>
            <w:r w:rsidR="003963FB">
              <w:rPr>
                <w:rFonts w:ascii="Arial" w:hAnsi="Arial" w:cs="Arial"/>
              </w:rPr>
              <w:t xml:space="preserve">management of a compounding service (e.g. the </w:t>
            </w:r>
            <w:r>
              <w:rPr>
                <w:rFonts w:ascii="Arial" w:hAnsi="Arial" w:cs="Arial"/>
                <w:iCs/>
                <w:color w:val="auto"/>
                <w:szCs w:val="20"/>
              </w:rPr>
              <w:t>critical analysis and evaluation of information that supports the formulation and advice on storage conditions and shelf life and administration of compounded medicines</w:t>
            </w:r>
            <w:r w:rsidR="003963FB">
              <w:rPr>
                <w:rFonts w:ascii="Arial" w:hAnsi="Arial" w:cs="Arial"/>
                <w:iCs/>
                <w:color w:val="auto"/>
                <w:szCs w:val="20"/>
              </w:rPr>
              <w:t>).</w:t>
            </w: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Do you have any other comments on the draft practice profile?</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Pr="0093789E" w:rsidRDefault="003963FB" w:rsidP="00AE151F">
            <w:pPr>
              <w:pStyle w:val="TableText"/>
              <w:keepNext w:val="0"/>
              <w:spacing w:before="0" w:after="0"/>
              <w:jc w:val="both"/>
              <w:rPr>
                <w:rFonts w:ascii="Arial" w:hAnsi="Arial" w:cs="Arial"/>
                <w:color w:val="auto"/>
              </w:rPr>
            </w:pPr>
            <w:r>
              <w:rPr>
                <w:rFonts w:ascii="Arial" w:hAnsi="Arial" w:cs="Arial"/>
                <w:color w:val="auto"/>
              </w:rPr>
              <w:t>SHPA is unsure if all the performance criteria listed are mandatory, we have assumed that they are for the purpose of this submission.</w:t>
            </w:r>
          </w:p>
        </w:tc>
      </w:tr>
    </w:tbl>
    <w:p w:rsidR="000A04E2" w:rsidRDefault="000A04E2" w:rsidP="005804F4">
      <w:pPr>
        <w:pStyle w:val="TableText"/>
        <w:keepNext w:val="0"/>
        <w:ind w:left="142"/>
        <w:jc w:val="both"/>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sidR="00D500CB">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8" w:history="1">
        <w:r w:rsidR="001D5537" w:rsidRPr="000D72F6">
          <w:rPr>
            <w:rStyle w:val="Hyperlink"/>
            <w:rFonts w:ascii="Arial" w:hAnsi="Arial" w:cs="Arial"/>
            <w:b/>
          </w:rPr>
          <w:t>pharmacyconsultation@ahpra.gov.au</w:t>
        </w:r>
      </w:hyperlink>
      <w:r w:rsidRPr="000D72F6">
        <w:rPr>
          <w:rFonts w:ascii="Arial" w:hAnsi="Arial"/>
          <w:b/>
        </w:rPr>
        <w:t xml:space="preserve"> by close of business on </w:t>
      </w:r>
      <w:r w:rsidR="00A62498">
        <w:rPr>
          <w:rFonts w:ascii="Arial" w:hAnsi="Arial"/>
          <w:b/>
          <w:lang w:val="en-US"/>
        </w:rPr>
        <w:t>Monday</w:t>
      </w:r>
      <w:r w:rsidR="00F30010" w:rsidRPr="000D72F6">
        <w:rPr>
          <w:rFonts w:ascii="Arial" w:hAnsi="Arial"/>
          <w:b/>
          <w:lang w:val="en-US"/>
        </w:rPr>
        <w:t xml:space="preserve"> </w:t>
      </w:r>
      <w:r w:rsidR="00A62498">
        <w:rPr>
          <w:rFonts w:ascii="Arial" w:hAnsi="Arial"/>
          <w:b/>
          <w:lang w:val="en-US"/>
        </w:rPr>
        <w:t>30 June</w:t>
      </w:r>
      <w:r w:rsidR="00F30010" w:rsidRPr="000D72F6">
        <w:rPr>
          <w:rFonts w:ascii="Arial" w:hAnsi="Arial"/>
          <w:b/>
          <w:lang w:val="en-US"/>
        </w:rPr>
        <w:t xml:space="preserve"> 201</w:t>
      </w:r>
      <w:r w:rsidR="00A62498">
        <w:rPr>
          <w:rFonts w:ascii="Arial" w:hAnsi="Arial"/>
          <w:b/>
          <w:lang w:val="en-US"/>
        </w:rPr>
        <w:t>4</w:t>
      </w:r>
      <w:r w:rsidRPr="000D72F6">
        <w:rPr>
          <w:rFonts w:ascii="Arial" w:hAnsi="Arial"/>
          <w:b/>
        </w:rPr>
        <w:t>.</w:t>
      </w:r>
    </w:p>
    <w:sectPr w:rsidR="000A04E2"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0C" w:rsidRDefault="001D420C" w:rsidP="00A43430">
      <w:pPr>
        <w:spacing w:after="0" w:line="240" w:lineRule="auto"/>
      </w:pPr>
      <w:r>
        <w:separator/>
      </w:r>
    </w:p>
  </w:endnote>
  <w:endnote w:type="continuationSeparator" w:id="0">
    <w:p w:rsidR="001D420C" w:rsidRDefault="001D420C"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8"/>
      </w:rPr>
      <w:id w:val="4061524"/>
      <w:docPartObj>
        <w:docPartGallery w:val="Page Numbers (Top of Page)"/>
        <w:docPartUnique/>
      </w:docPartObj>
    </w:sdtPr>
    <w:sdtEndPr>
      <w:rPr>
        <w:sz w:val="18"/>
      </w:rPr>
    </w:sdtEndPr>
    <w:sdtContent>
      <w:p w:rsidR="001D420C" w:rsidRDefault="001D420C" w:rsidP="00780CE7">
        <w:pPr>
          <w:pStyle w:val="Header"/>
          <w:tabs>
            <w:tab w:val="clear" w:pos="4680"/>
            <w:tab w:val="clear" w:pos="9360"/>
            <w:tab w:val="center" w:pos="4820"/>
            <w:tab w:val="right" w:pos="9072"/>
          </w:tabs>
          <w:rPr>
            <w:rFonts w:ascii="Arial" w:hAnsi="Arial" w:cs="Arial"/>
            <w:sz w:val="14"/>
            <w:szCs w:val="18"/>
          </w:rPr>
        </w:pPr>
        <w:r>
          <w:rPr>
            <w:rFonts w:ascii="Arial" w:hAnsi="Arial" w:cs="Arial"/>
            <w:sz w:val="14"/>
            <w:szCs w:val="18"/>
          </w:rPr>
          <w:tab/>
        </w:r>
      </w:p>
      <w:p w:rsidR="001D420C" w:rsidRPr="00780CE7" w:rsidRDefault="001D420C" w:rsidP="00780CE7">
        <w:pPr>
          <w:pStyle w:val="Header"/>
          <w:tabs>
            <w:tab w:val="clear" w:pos="4680"/>
            <w:tab w:val="clear" w:pos="9360"/>
            <w:tab w:val="center" w:pos="3402"/>
            <w:tab w:val="right" w:pos="9072"/>
          </w:tabs>
          <w:rPr>
            <w:rFonts w:ascii="Arial" w:hAnsi="Arial" w:cs="Arial"/>
            <w:sz w:val="16"/>
            <w:szCs w:val="16"/>
          </w:rPr>
        </w:pPr>
      </w:p>
      <w:p w:rsidR="001D420C" w:rsidRPr="00047AAB" w:rsidRDefault="001D420C" w:rsidP="00FE1236">
        <w:pPr>
          <w:pStyle w:val="AHPRAfirstpagefooter"/>
          <w:tabs>
            <w:tab w:val="center" w:pos="2835"/>
            <w:tab w:val="left" w:pos="2977"/>
            <w:tab w:val="right" w:pos="9498"/>
          </w:tabs>
          <w:spacing w:line="360" w:lineRule="auto"/>
          <w:jc w:val="left"/>
          <w:rPr>
            <w:b w:val="0"/>
            <w:sz w:val="16"/>
          </w:rPr>
        </w:pPr>
        <w:r>
          <w:rPr>
            <w:b w:val="0"/>
            <w:sz w:val="16"/>
          </w:rPr>
          <w:t>Pharmacy Board of Australia</w:t>
        </w:r>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1D420C" w:rsidRPr="00E5769B" w:rsidRDefault="001D420C" w:rsidP="00780CE7">
        <w:pPr>
          <w:pStyle w:val="Header"/>
          <w:tabs>
            <w:tab w:val="clear" w:pos="4680"/>
            <w:tab w:val="clear" w:pos="9360"/>
            <w:tab w:val="center" w:pos="3402"/>
            <w:tab w:val="right" w:pos="9072"/>
          </w:tabs>
          <w:rPr>
            <w:rFonts w:ascii="Arial" w:hAnsi="Arial" w:cs="Arial"/>
            <w:sz w:val="16"/>
            <w:szCs w:val="20"/>
          </w:rPr>
        </w:pPr>
      </w:p>
      <w:p w:rsidR="001D420C" w:rsidRDefault="001D420C"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8B507E" w:rsidRPr="009D3653">
          <w:rPr>
            <w:rFonts w:ascii="Arial" w:hAnsi="Arial" w:cs="Arial"/>
            <w:sz w:val="18"/>
            <w:szCs w:val="18"/>
          </w:rPr>
          <w:fldChar w:fldCharType="begin"/>
        </w:r>
        <w:r w:rsidRPr="009D3653">
          <w:rPr>
            <w:rFonts w:ascii="Arial" w:hAnsi="Arial" w:cs="Arial"/>
            <w:sz w:val="18"/>
            <w:szCs w:val="18"/>
          </w:rPr>
          <w:instrText xml:space="preserve"> PAGE </w:instrText>
        </w:r>
        <w:r w:rsidR="008B507E" w:rsidRPr="009D3653">
          <w:rPr>
            <w:rFonts w:ascii="Arial" w:hAnsi="Arial" w:cs="Arial"/>
            <w:sz w:val="18"/>
            <w:szCs w:val="18"/>
          </w:rPr>
          <w:fldChar w:fldCharType="separate"/>
        </w:r>
        <w:r w:rsidR="00ED5A8A">
          <w:rPr>
            <w:rFonts w:ascii="Arial" w:hAnsi="Arial" w:cs="Arial"/>
            <w:noProof/>
            <w:sz w:val="18"/>
            <w:szCs w:val="18"/>
          </w:rPr>
          <w:t>3</w:t>
        </w:r>
        <w:r w:rsidR="008B507E" w:rsidRPr="009D3653">
          <w:rPr>
            <w:rFonts w:ascii="Arial" w:hAnsi="Arial" w:cs="Arial"/>
            <w:sz w:val="18"/>
            <w:szCs w:val="18"/>
          </w:rPr>
          <w:fldChar w:fldCharType="end"/>
        </w:r>
        <w:r w:rsidRPr="009D3653">
          <w:rPr>
            <w:rFonts w:ascii="Arial" w:hAnsi="Arial" w:cs="Arial"/>
            <w:sz w:val="18"/>
            <w:szCs w:val="18"/>
          </w:rPr>
          <w:t xml:space="preserve"> of </w:t>
        </w:r>
        <w:r w:rsidR="008B507E"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8B507E" w:rsidRPr="009D3653">
          <w:rPr>
            <w:rFonts w:ascii="Arial" w:hAnsi="Arial" w:cs="Arial"/>
            <w:sz w:val="18"/>
            <w:szCs w:val="18"/>
          </w:rPr>
          <w:fldChar w:fldCharType="separate"/>
        </w:r>
        <w:r w:rsidR="00ED5A8A">
          <w:rPr>
            <w:rFonts w:ascii="Arial" w:hAnsi="Arial" w:cs="Arial"/>
            <w:noProof/>
            <w:sz w:val="18"/>
            <w:szCs w:val="18"/>
          </w:rPr>
          <w:t>3</w:t>
        </w:r>
        <w:r w:rsidR="008B507E" w:rsidRPr="009D365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0C" w:rsidRPr="00E5769B" w:rsidRDefault="001D420C" w:rsidP="00192714">
    <w:pPr>
      <w:pStyle w:val="AHPRAfirstpagefooter"/>
      <w:rPr>
        <w:szCs w:val="18"/>
      </w:rPr>
    </w:pPr>
    <w:r w:rsidRPr="00E5769B">
      <w:rPr>
        <w:color w:val="007DC3"/>
        <w:szCs w:val="18"/>
      </w:rPr>
      <w:t>Pharmacy</w:t>
    </w:r>
    <w:r w:rsidRPr="00E5769B">
      <w:rPr>
        <w:szCs w:val="18"/>
      </w:rPr>
      <w:t xml:space="preserve"> Board of Australia</w:t>
    </w:r>
  </w:p>
  <w:p w:rsidR="001D420C" w:rsidRPr="00192714" w:rsidRDefault="001D420C"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1D420C" w:rsidRPr="00E07D13" w:rsidRDefault="001D420C"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0C" w:rsidRDefault="001D420C" w:rsidP="00A43430">
      <w:pPr>
        <w:spacing w:after="0" w:line="240" w:lineRule="auto"/>
      </w:pPr>
      <w:r>
        <w:separator/>
      </w:r>
    </w:p>
  </w:footnote>
  <w:footnote w:type="continuationSeparator" w:id="0">
    <w:p w:rsidR="001D420C" w:rsidRDefault="001D420C" w:rsidP="00A43430">
      <w:pPr>
        <w:spacing w:after="0" w:line="240" w:lineRule="auto"/>
      </w:pPr>
      <w:r>
        <w:continuationSeparator/>
      </w:r>
    </w:p>
  </w:footnote>
  <w:footnote w:id="1">
    <w:p w:rsidR="001D420C" w:rsidRDefault="001D420C"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0C" w:rsidRDefault="001D420C" w:rsidP="00E07D13">
    <w:pPr>
      <w:pStyle w:val="Header"/>
      <w:rPr>
        <w:rFonts w:ascii="Arial" w:hAnsi="Arial" w:cs="Arial"/>
        <w:sz w:val="20"/>
        <w:szCs w:val="20"/>
      </w:rPr>
    </w:pPr>
  </w:p>
  <w:p w:rsidR="001D420C" w:rsidRDefault="001D420C" w:rsidP="00E07D13">
    <w:pPr>
      <w:pStyle w:val="Header"/>
      <w:rPr>
        <w:rFonts w:ascii="Arial" w:hAnsi="Arial" w:cs="Arial"/>
        <w:sz w:val="20"/>
        <w:szCs w:val="20"/>
      </w:rPr>
    </w:pPr>
  </w:p>
  <w:p w:rsidR="001D420C" w:rsidRPr="00B12E0A" w:rsidRDefault="001D420C" w:rsidP="00E5769B">
    <w:pPr>
      <w:pStyle w:val="Header"/>
      <w:jc w:val="right"/>
      <w:rPr>
        <w:rFonts w:ascii="Arial" w:hAnsi="Arial" w:cs="Arial"/>
        <w:sz w:val="20"/>
        <w:szCs w:val="20"/>
      </w:rPr>
    </w:pPr>
    <w:r w:rsidRPr="00E5769B">
      <w:rPr>
        <w:rFonts w:ascii="Arial" w:hAnsi="Arial" w:cs="Arial"/>
        <w:noProof/>
        <w:sz w:val="20"/>
        <w:szCs w:val="20"/>
        <w:lang w:eastAsia="en-AU"/>
      </w:rPr>
      <w:drawing>
        <wp:inline distT="0" distB="0" distL="0" distR="0">
          <wp:extent cx="1368152" cy="1368152"/>
          <wp:effectExtent l="19050" t="0" r="3448" b="0"/>
          <wp:docPr id="4" name="Picture 4" descr="AHPRA_PharmacyBoardofAustralia"/>
          <wp:cNvGraphicFramePr/>
          <a:graphic xmlns:a="http://schemas.openxmlformats.org/drawingml/2006/main">
            <a:graphicData uri="http://schemas.openxmlformats.org/drawingml/2006/picture">
              <pic:pic xmlns:pic="http://schemas.openxmlformats.org/drawingml/2006/picture">
                <pic:nvPicPr>
                  <pic:cNvPr id="1032"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p w:rsidR="001D420C" w:rsidRDefault="001D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8070A"/>
    <w:multiLevelType w:val="hybridMultilevel"/>
    <w:tmpl w:val="90382E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050049"/>
    <w:multiLevelType w:val="hybridMultilevel"/>
    <w:tmpl w:val="62DE5B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E23736"/>
    <w:multiLevelType w:val="hybridMultilevel"/>
    <w:tmpl w:val="A12A66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A70B2D"/>
    <w:multiLevelType w:val="hybridMultilevel"/>
    <w:tmpl w:val="8646B3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54B5C"/>
    <w:multiLevelType w:val="hybridMultilevel"/>
    <w:tmpl w:val="B1082D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1"/>
  </w:num>
  <w:num w:numId="4">
    <w:abstractNumId w:val="6"/>
  </w:num>
  <w:num w:numId="5">
    <w:abstractNumId w:val="9"/>
  </w:num>
  <w:num w:numId="6">
    <w:abstractNumId w:val="1"/>
  </w:num>
  <w:num w:numId="7">
    <w:abstractNumId w:val="12"/>
  </w:num>
  <w:num w:numId="8">
    <w:abstractNumId w:val="0"/>
  </w:num>
  <w:num w:numId="9">
    <w:abstractNumId w:val="10"/>
  </w:num>
  <w:num w:numId="10">
    <w:abstractNumId w:val="4"/>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59E"/>
    <w:rsid w:val="00003F0A"/>
    <w:rsid w:val="0002306A"/>
    <w:rsid w:val="000255FE"/>
    <w:rsid w:val="0003785A"/>
    <w:rsid w:val="000506EA"/>
    <w:rsid w:val="00054C81"/>
    <w:rsid w:val="000A04E2"/>
    <w:rsid w:val="000C51C7"/>
    <w:rsid w:val="000D22C5"/>
    <w:rsid w:val="000D72F6"/>
    <w:rsid w:val="000F32CC"/>
    <w:rsid w:val="001037F1"/>
    <w:rsid w:val="0011488A"/>
    <w:rsid w:val="0013396B"/>
    <w:rsid w:val="001773F6"/>
    <w:rsid w:val="001802F4"/>
    <w:rsid w:val="00192714"/>
    <w:rsid w:val="001A6FF0"/>
    <w:rsid w:val="001B6023"/>
    <w:rsid w:val="001D420C"/>
    <w:rsid w:val="001D5537"/>
    <w:rsid w:val="001F419C"/>
    <w:rsid w:val="001F63F8"/>
    <w:rsid w:val="001F7A6B"/>
    <w:rsid w:val="00204E84"/>
    <w:rsid w:val="00232339"/>
    <w:rsid w:val="0023733D"/>
    <w:rsid w:val="002440E1"/>
    <w:rsid w:val="00245752"/>
    <w:rsid w:val="002742A6"/>
    <w:rsid w:val="002C138A"/>
    <w:rsid w:val="002D6FEB"/>
    <w:rsid w:val="002F2E3E"/>
    <w:rsid w:val="00312D1D"/>
    <w:rsid w:val="00325589"/>
    <w:rsid w:val="00333CB2"/>
    <w:rsid w:val="003535C0"/>
    <w:rsid w:val="00362447"/>
    <w:rsid w:val="00371AE4"/>
    <w:rsid w:val="00374C1F"/>
    <w:rsid w:val="00395CC6"/>
    <w:rsid w:val="003963FB"/>
    <w:rsid w:val="003A1287"/>
    <w:rsid w:val="003A5FFE"/>
    <w:rsid w:val="003E151C"/>
    <w:rsid w:val="003F3C94"/>
    <w:rsid w:val="003F724B"/>
    <w:rsid w:val="00411FB6"/>
    <w:rsid w:val="0041414F"/>
    <w:rsid w:val="004142F8"/>
    <w:rsid w:val="00432B52"/>
    <w:rsid w:val="00487166"/>
    <w:rsid w:val="00493A0B"/>
    <w:rsid w:val="004B1F26"/>
    <w:rsid w:val="004B6558"/>
    <w:rsid w:val="004E13C1"/>
    <w:rsid w:val="004E69DB"/>
    <w:rsid w:val="004F6E85"/>
    <w:rsid w:val="00511339"/>
    <w:rsid w:val="0051561C"/>
    <w:rsid w:val="00515FBC"/>
    <w:rsid w:val="005373A1"/>
    <w:rsid w:val="00547923"/>
    <w:rsid w:val="00557AE2"/>
    <w:rsid w:val="00566FD1"/>
    <w:rsid w:val="005727F2"/>
    <w:rsid w:val="005804F4"/>
    <w:rsid w:val="0058421F"/>
    <w:rsid w:val="00591B54"/>
    <w:rsid w:val="005B11D8"/>
    <w:rsid w:val="005B3BEC"/>
    <w:rsid w:val="005D6C58"/>
    <w:rsid w:val="005E405C"/>
    <w:rsid w:val="00600851"/>
    <w:rsid w:val="00602C6C"/>
    <w:rsid w:val="006266AB"/>
    <w:rsid w:val="00691ACE"/>
    <w:rsid w:val="0069209F"/>
    <w:rsid w:val="006D251F"/>
    <w:rsid w:val="006E2D73"/>
    <w:rsid w:val="006E7EB2"/>
    <w:rsid w:val="006F021B"/>
    <w:rsid w:val="00700478"/>
    <w:rsid w:val="0070319F"/>
    <w:rsid w:val="0070387E"/>
    <w:rsid w:val="007060F7"/>
    <w:rsid w:val="0071260D"/>
    <w:rsid w:val="00712D18"/>
    <w:rsid w:val="0072456E"/>
    <w:rsid w:val="00742725"/>
    <w:rsid w:val="00755A0F"/>
    <w:rsid w:val="00756610"/>
    <w:rsid w:val="00780CE7"/>
    <w:rsid w:val="0078580E"/>
    <w:rsid w:val="007A2F31"/>
    <w:rsid w:val="007A61B2"/>
    <w:rsid w:val="007D237D"/>
    <w:rsid w:val="007D5E6C"/>
    <w:rsid w:val="00821E14"/>
    <w:rsid w:val="008338F1"/>
    <w:rsid w:val="0083417E"/>
    <w:rsid w:val="008754B8"/>
    <w:rsid w:val="00882805"/>
    <w:rsid w:val="008B507E"/>
    <w:rsid w:val="008C51A8"/>
    <w:rsid w:val="008D4EEC"/>
    <w:rsid w:val="009062D9"/>
    <w:rsid w:val="0093789E"/>
    <w:rsid w:val="00955659"/>
    <w:rsid w:val="009C53C9"/>
    <w:rsid w:val="009F1223"/>
    <w:rsid w:val="009F6555"/>
    <w:rsid w:val="00A11719"/>
    <w:rsid w:val="00A43430"/>
    <w:rsid w:val="00A52096"/>
    <w:rsid w:val="00A62498"/>
    <w:rsid w:val="00A95B18"/>
    <w:rsid w:val="00AD021B"/>
    <w:rsid w:val="00AE151F"/>
    <w:rsid w:val="00B12E0A"/>
    <w:rsid w:val="00B1559E"/>
    <w:rsid w:val="00B43FBE"/>
    <w:rsid w:val="00B62F99"/>
    <w:rsid w:val="00B65321"/>
    <w:rsid w:val="00B870D1"/>
    <w:rsid w:val="00B950B5"/>
    <w:rsid w:val="00BA5655"/>
    <w:rsid w:val="00BA7F4C"/>
    <w:rsid w:val="00BB69CC"/>
    <w:rsid w:val="00BC1A95"/>
    <w:rsid w:val="00BD623A"/>
    <w:rsid w:val="00BE2250"/>
    <w:rsid w:val="00C05619"/>
    <w:rsid w:val="00C26979"/>
    <w:rsid w:val="00C32BAE"/>
    <w:rsid w:val="00C3659E"/>
    <w:rsid w:val="00C86132"/>
    <w:rsid w:val="00C96543"/>
    <w:rsid w:val="00CD37E6"/>
    <w:rsid w:val="00CF78AF"/>
    <w:rsid w:val="00D500CB"/>
    <w:rsid w:val="00D666E3"/>
    <w:rsid w:val="00D8397E"/>
    <w:rsid w:val="00D91023"/>
    <w:rsid w:val="00DB403D"/>
    <w:rsid w:val="00DB5474"/>
    <w:rsid w:val="00DC113F"/>
    <w:rsid w:val="00DC53CF"/>
    <w:rsid w:val="00DD1CFE"/>
    <w:rsid w:val="00DD6DA7"/>
    <w:rsid w:val="00DF4AF6"/>
    <w:rsid w:val="00E07D13"/>
    <w:rsid w:val="00E2141B"/>
    <w:rsid w:val="00E25FA7"/>
    <w:rsid w:val="00E56830"/>
    <w:rsid w:val="00E5769B"/>
    <w:rsid w:val="00E7034E"/>
    <w:rsid w:val="00EA003C"/>
    <w:rsid w:val="00EC766F"/>
    <w:rsid w:val="00ED5A8A"/>
    <w:rsid w:val="00F0552E"/>
    <w:rsid w:val="00F1330C"/>
    <w:rsid w:val="00F30010"/>
    <w:rsid w:val="00F410FD"/>
    <w:rsid w:val="00F47F45"/>
    <w:rsid w:val="00F56B4A"/>
    <w:rsid w:val="00F6154A"/>
    <w:rsid w:val="00F65455"/>
    <w:rsid w:val="00F8154A"/>
    <w:rsid w:val="00FA7A69"/>
    <w:rsid w:val="00FE1236"/>
    <w:rsid w:val="00FE2429"/>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3"/>
      </o:rules>
    </o:shapelayout>
  </w:shapeDefaults>
  <w:decimalSymbol w:val="."/>
  <w:listSeparator w:val=","/>
  <w15:docId w15:val="{E89F856F-0616-4E88-A4FF-18663F9F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uiPriority w:val="99"/>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0712">
      <w:bodyDiv w:val="1"/>
      <w:marLeft w:val="0"/>
      <w:marRight w:val="0"/>
      <w:marTop w:val="0"/>
      <w:marBottom w:val="0"/>
      <w:divBdr>
        <w:top w:val="none" w:sz="0" w:space="0" w:color="auto"/>
        <w:left w:val="none" w:sz="0" w:space="0" w:color="auto"/>
        <w:bottom w:val="none" w:sz="0" w:space="0" w:color="auto"/>
        <w:right w:val="none" w:sz="0" w:space="0" w:color="auto"/>
      </w:divBdr>
    </w:div>
    <w:div w:id="673923281">
      <w:bodyDiv w:val="1"/>
      <w:marLeft w:val="0"/>
      <w:marRight w:val="0"/>
      <w:marTop w:val="0"/>
      <w:marBottom w:val="0"/>
      <w:divBdr>
        <w:top w:val="none" w:sz="0" w:space="0" w:color="auto"/>
        <w:left w:val="none" w:sz="0" w:space="0" w:color="auto"/>
        <w:bottom w:val="none" w:sz="0" w:space="0" w:color="auto"/>
        <w:right w:val="none" w:sz="0" w:space="0" w:color="auto"/>
      </w:divBdr>
    </w:div>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armac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Practice profile public consultation response paper - 28 April 2014</vt:lpstr>
    </vt:vector>
  </TitlesOfParts>
  <Company>AHPRA</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public consultation response paper - 28 April 2014</dc:title>
  <dc:subject>Submission</dc:subject>
  <dc:creator>Pharmacy Board</dc:creator>
  <cp:keywords>The Society of Hospital Pharmacists of Australia</cp:keywords>
  <cp:lastModifiedBy>Tara Johnson</cp:lastModifiedBy>
  <cp:revision>2</cp:revision>
  <cp:lastPrinted>2014-06-17T23:40:00Z</cp:lastPrinted>
  <dcterms:created xsi:type="dcterms:W3CDTF">2015-03-10T01:24:00Z</dcterms:created>
  <dcterms:modified xsi:type="dcterms:W3CDTF">2015-03-10T01:24:00Z</dcterms:modified>
</cp:coreProperties>
</file>