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C4" w:rsidRPr="004962E0" w:rsidRDefault="00A2596C" w:rsidP="00804FC4">
      <w:pPr>
        <w:spacing w:line="240" w:lineRule="auto"/>
        <w:rPr>
          <w:rFonts w:cs="Arial"/>
          <w:szCs w:val="20"/>
        </w:rPr>
      </w:pPr>
      <w:r>
        <w:rPr>
          <w:rFonts w:cs="Arial"/>
          <w:szCs w:val="20"/>
        </w:rPr>
        <w:t>8</w:t>
      </w:r>
      <w:r w:rsidR="00804FC4" w:rsidRPr="004962E0">
        <w:rPr>
          <w:rFonts w:cs="Arial"/>
          <w:szCs w:val="20"/>
        </w:rPr>
        <w:t xml:space="preserve"> </w:t>
      </w:r>
      <w:r w:rsidR="002F612C">
        <w:rPr>
          <w:rFonts w:cs="Arial"/>
          <w:szCs w:val="20"/>
        </w:rPr>
        <w:t>July</w:t>
      </w:r>
      <w:r w:rsidR="00804FC4" w:rsidRPr="004962E0">
        <w:rPr>
          <w:rFonts w:cs="Arial"/>
          <w:szCs w:val="20"/>
        </w:rPr>
        <w:t xml:space="preserve"> 2014</w:t>
      </w:r>
    </w:p>
    <w:p w:rsidR="00804FC4" w:rsidRPr="002F612C" w:rsidRDefault="002F612C" w:rsidP="00804FC4">
      <w:pPr>
        <w:spacing w:after="0" w:line="240" w:lineRule="auto"/>
        <w:rPr>
          <w:rFonts w:cs="Arial"/>
          <w:b/>
          <w:szCs w:val="20"/>
        </w:rPr>
      </w:pPr>
      <w:r>
        <w:rPr>
          <w:rFonts w:cs="Arial"/>
          <w:b/>
          <w:szCs w:val="20"/>
        </w:rPr>
        <w:t>Michelle Pirpinias</w:t>
      </w:r>
    </w:p>
    <w:p w:rsidR="00804FC4" w:rsidRDefault="002F612C" w:rsidP="00804FC4">
      <w:pPr>
        <w:spacing w:after="0" w:line="240" w:lineRule="auto"/>
        <w:rPr>
          <w:rFonts w:cs="Arial"/>
          <w:szCs w:val="20"/>
        </w:rPr>
      </w:pPr>
      <w:r>
        <w:rPr>
          <w:rFonts w:cs="Arial"/>
          <w:szCs w:val="20"/>
        </w:rPr>
        <w:t>Senior Policy Officer</w:t>
      </w:r>
    </w:p>
    <w:p w:rsidR="00804FC4" w:rsidRPr="00B53A31" w:rsidRDefault="00EF74DA" w:rsidP="00804FC4">
      <w:pPr>
        <w:spacing w:after="0" w:line="240" w:lineRule="auto"/>
        <w:rPr>
          <w:rFonts w:cs="Arial"/>
          <w:szCs w:val="20"/>
        </w:rPr>
      </w:pPr>
      <w:r>
        <w:rPr>
          <w:rFonts w:cs="Arial"/>
          <w:szCs w:val="20"/>
        </w:rPr>
        <w:t>Pharmacy Board of Australia</w:t>
      </w:r>
    </w:p>
    <w:p w:rsidR="00804FC4" w:rsidRDefault="00EF74DA" w:rsidP="00804FC4">
      <w:pPr>
        <w:spacing w:after="0" w:line="240" w:lineRule="auto"/>
        <w:rPr>
          <w:rFonts w:cs="Arial"/>
          <w:szCs w:val="20"/>
        </w:rPr>
      </w:pPr>
      <w:r>
        <w:rPr>
          <w:rFonts w:cs="Arial"/>
          <w:szCs w:val="20"/>
        </w:rPr>
        <w:t>c/o Australian Health Practitioner Regulation Agency</w:t>
      </w:r>
    </w:p>
    <w:p w:rsidR="00EF74DA" w:rsidRDefault="00EF74DA" w:rsidP="00804FC4">
      <w:pPr>
        <w:spacing w:after="0" w:line="240" w:lineRule="auto"/>
        <w:rPr>
          <w:rFonts w:cs="Arial"/>
          <w:szCs w:val="20"/>
        </w:rPr>
      </w:pPr>
      <w:r>
        <w:rPr>
          <w:rFonts w:cs="Arial"/>
          <w:szCs w:val="20"/>
        </w:rPr>
        <w:t>GPO Box 9958</w:t>
      </w:r>
    </w:p>
    <w:p w:rsidR="00EF74DA" w:rsidRPr="00B53A31" w:rsidRDefault="00EF74DA" w:rsidP="00804FC4">
      <w:pPr>
        <w:spacing w:after="0" w:line="240" w:lineRule="auto"/>
        <w:rPr>
          <w:rFonts w:cs="Arial"/>
          <w:szCs w:val="20"/>
        </w:rPr>
      </w:pPr>
      <w:r>
        <w:rPr>
          <w:rFonts w:cs="Arial"/>
          <w:szCs w:val="20"/>
        </w:rPr>
        <w:t>Melbourne VIC 3001</w:t>
      </w:r>
    </w:p>
    <w:p w:rsidR="0035573C" w:rsidRDefault="00804FC4" w:rsidP="00EF74DA">
      <w:pPr>
        <w:spacing w:before="240" w:after="0" w:line="240" w:lineRule="auto"/>
        <w:rPr>
          <w:rFonts w:cs="Arial"/>
          <w:szCs w:val="20"/>
          <w:u w:val="single"/>
        </w:rPr>
      </w:pPr>
      <w:r w:rsidRPr="00B53A31">
        <w:rPr>
          <w:rFonts w:cs="Arial"/>
          <w:b/>
          <w:szCs w:val="20"/>
          <w:u w:val="single"/>
        </w:rPr>
        <w:t>By email:</w:t>
      </w:r>
      <w:r w:rsidRPr="00B53A31">
        <w:rPr>
          <w:rFonts w:cs="Arial"/>
          <w:szCs w:val="20"/>
          <w:u w:val="single"/>
        </w:rPr>
        <w:t xml:space="preserve"> </w:t>
      </w:r>
      <w:r w:rsidR="0035573C">
        <w:rPr>
          <w:rFonts w:cs="Arial"/>
          <w:szCs w:val="20"/>
          <w:u w:val="single"/>
        </w:rPr>
        <w:t>pharmacyconsultation@ahpra.gov.au</w:t>
      </w:r>
      <w:bookmarkStart w:id="0" w:name="_GoBack"/>
      <w:bookmarkEnd w:id="0"/>
    </w:p>
    <w:p w:rsidR="00AA4E96" w:rsidRDefault="00AA4E96" w:rsidP="00AA4E96">
      <w:pPr>
        <w:spacing w:before="480" w:line="240" w:lineRule="auto"/>
        <w:rPr>
          <w:szCs w:val="20"/>
        </w:rPr>
      </w:pPr>
      <w:r>
        <w:t xml:space="preserve"> </w:t>
      </w:r>
      <w:r w:rsidRPr="00AA4E96">
        <w:rPr>
          <w:szCs w:val="20"/>
          <w:highlight w:val="black"/>
        </w:rPr>
        <w:t>[</w:t>
      </w:r>
      <w:proofErr w:type="gramStart"/>
      <w:r w:rsidRPr="00AA4E96">
        <w:rPr>
          <w:szCs w:val="20"/>
          <w:highlight w:val="black"/>
        </w:rPr>
        <w:t>content</w:t>
      </w:r>
      <w:proofErr w:type="gramEnd"/>
      <w:r w:rsidRPr="00AA4E96">
        <w:rPr>
          <w:szCs w:val="20"/>
          <w:highlight w:val="black"/>
        </w:rPr>
        <w:t xml:space="preserve"> redacted]</w:t>
      </w:r>
      <w:r>
        <w:rPr>
          <w:szCs w:val="20"/>
        </w:rPr>
        <w:t xml:space="preserve"> </w:t>
      </w:r>
    </w:p>
    <w:p w:rsidR="00804FC4" w:rsidRPr="006F40E2" w:rsidRDefault="00804FC4" w:rsidP="00AA4E96">
      <w:pPr>
        <w:spacing w:before="480" w:line="240" w:lineRule="auto"/>
        <w:rPr>
          <w:rFonts w:cs="Arial"/>
          <w:szCs w:val="20"/>
        </w:rPr>
      </w:pPr>
      <w:r w:rsidRPr="00A2596C">
        <w:rPr>
          <w:rFonts w:cs="Arial"/>
          <w:szCs w:val="20"/>
        </w:rPr>
        <w:t xml:space="preserve">Dear </w:t>
      </w:r>
      <w:r w:rsidR="00A2596C">
        <w:rPr>
          <w:rFonts w:cs="Arial"/>
          <w:szCs w:val="20"/>
        </w:rPr>
        <w:t>Ms Pirpinias,</w:t>
      </w:r>
      <w:r w:rsidRPr="006F40E2">
        <w:rPr>
          <w:rFonts w:cs="Arial"/>
          <w:szCs w:val="20"/>
        </w:rPr>
        <w:t xml:space="preserve"> </w:t>
      </w:r>
    </w:p>
    <w:p w:rsidR="00804FC4" w:rsidRPr="009B2E5A" w:rsidRDefault="00804FC4" w:rsidP="00804FC4">
      <w:pPr>
        <w:spacing w:line="240" w:lineRule="auto"/>
        <w:rPr>
          <w:rFonts w:cs="Arial"/>
          <w:b/>
          <w:szCs w:val="20"/>
          <w:u w:val="single"/>
        </w:rPr>
      </w:pPr>
      <w:r w:rsidRPr="009B2E5A">
        <w:rPr>
          <w:rFonts w:cs="Arial"/>
          <w:b/>
          <w:szCs w:val="20"/>
          <w:u w:val="single"/>
        </w:rPr>
        <w:t>Re: APVMA draft regulatory guidelines</w:t>
      </w:r>
    </w:p>
    <w:p w:rsidR="00804FC4" w:rsidRPr="00EF74DA" w:rsidRDefault="00804FC4" w:rsidP="00804FC4">
      <w:pPr>
        <w:spacing w:line="240" w:lineRule="auto"/>
        <w:rPr>
          <w:rFonts w:cs="Arial"/>
          <w:szCs w:val="20"/>
        </w:rPr>
      </w:pPr>
      <w:r w:rsidRPr="009B2E5A">
        <w:rPr>
          <w:rFonts w:cs="Arial"/>
          <w:szCs w:val="20"/>
        </w:rPr>
        <w:t xml:space="preserve">On behalf of Animal Medicines Australia, I provide the attached submission in response to the </w:t>
      </w:r>
      <w:r w:rsidR="00EF74DA">
        <w:rPr>
          <w:rFonts w:cs="Arial"/>
          <w:szCs w:val="20"/>
        </w:rPr>
        <w:t xml:space="preserve">Pharmacy Board’s draft </w:t>
      </w:r>
      <w:r w:rsidR="00EF74DA">
        <w:rPr>
          <w:rFonts w:cs="Arial"/>
          <w:i/>
          <w:szCs w:val="20"/>
        </w:rPr>
        <w:t>Guidelines on compounding of medicines</w:t>
      </w:r>
      <w:r w:rsidR="00EF74DA">
        <w:rPr>
          <w:rFonts w:cs="Arial"/>
          <w:szCs w:val="20"/>
        </w:rPr>
        <w:t xml:space="preserve">. </w:t>
      </w:r>
    </w:p>
    <w:p w:rsidR="00804FC4" w:rsidRDefault="00804FC4" w:rsidP="00804FC4">
      <w:pPr>
        <w:spacing w:line="240" w:lineRule="auto"/>
        <w:rPr>
          <w:rFonts w:cs="Arial"/>
          <w:szCs w:val="20"/>
        </w:rPr>
      </w:pPr>
      <w:r>
        <w:rPr>
          <w:rFonts w:cs="Arial"/>
          <w:szCs w:val="20"/>
        </w:rPr>
        <w:t>Please do not hesitate to contact me or Animal Medicines Australia’s Director of Corporate Affairs and Regulatory Policy, Mr Michael Wright, if you should require any further information in relation to any aspect of this submission.</w:t>
      </w:r>
    </w:p>
    <w:p w:rsidR="00804FC4" w:rsidRDefault="00804FC4" w:rsidP="00804FC4">
      <w:pPr>
        <w:spacing w:line="240" w:lineRule="auto"/>
        <w:rPr>
          <w:rFonts w:cs="Arial"/>
          <w:szCs w:val="20"/>
        </w:rPr>
      </w:pPr>
    </w:p>
    <w:p w:rsidR="00804FC4" w:rsidRDefault="00804FC4" w:rsidP="00804FC4">
      <w:pPr>
        <w:spacing w:line="240" w:lineRule="auto"/>
        <w:rPr>
          <w:rFonts w:cs="Arial"/>
          <w:szCs w:val="20"/>
        </w:rPr>
      </w:pPr>
      <w:r>
        <w:rPr>
          <w:rFonts w:cs="Arial"/>
          <w:szCs w:val="20"/>
        </w:rPr>
        <w:t>Yours Sincerely,</w:t>
      </w:r>
    </w:p>
    <w:p w:rsidR="00804FC4" w:rsidRDefault="00804FC4" w:rsidP="00804FC4">
      <w:pPr>
        <w:spacing w:line="240" w:lineRule="auto"/>
        <w:rPr>
          <w:rFonts w:cs="Arial"/>
          <w:szCs w:val="20"/>
        </w:rPr>
      </w:pPr>
      <w:r>
        <w:rPr>
          <w:noProof/>
          <w:lang w:eastAsia="en-AU"/>
        </w:rPr>
        <w:drawing>
          <wp:inline distT="0" distB="0" distL="0" distR="0">
            <wp:extent cx="28098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179" t="86703" r="55000" b="9657"/>
                    <a:stretch/>
                  </pic:blipFill>
                  <pic:spPr bwMode="auto">
                    <a:xfrm>
                      <a:off x="0" y="0"/>
                      <a:ext cx="2809875" cy="381000"/>
                    </a:xfrm>
                    <a:prstGeom prst="rect">
                      <a:avLst/>
                    </a:prstGeom>
                    <a:noFill/>
                    <a:ln>
                      <a:noFill/>
                    </a:ln>
                    <a:extLst>
                      <a:ext uri="{53640926-AAD7-44D8-BBD7-CCE9431645EC}">
                        <a14:shadowObscured xmlns:a14="http://schemas.microsoft.com/office/drawing/2010/main"/>
                      </a:ext>
                    </a:extLst>
                  </pic:spPr>
                </pic:pic>
              </a:graphicData>
            </a:graphic>
          </wp:inline>
        </w:drawing>
      </w:r>
    </w:p>
    <w:p w:rsidR="00804FC4" w:rsidRDefault="00804FC4" w:rsidP="00804FC4">
      <w:pPr>
        <w:spacing w:line="240" w:lineRule="auto"/>
        <w:rPr>
          <w:rFonts w:cs="Arial"/>
          <w:szCs w:val="20"/>
        </w:rPr>
      </w:pPr>
    </w:p>
    <w:p w:rsidR="00804FC4" w:rsidRDefault="00804FC4" w:rsidP="00804FC4">
      <w:pPr>
        <w:spacing w:after="0" w:line="240" w:lineRule="auto"/>
        <w:rPr>
          <w:rFonts w:cs="Arial"/>
          <w:szCs w:val="20"/>
        </w:rPr>
      </w:pPr>
      <w:r>
        <w:rPr>
          <w:rFonts w:cs="Arial"/>
          <w:szCs w:val="20"/>
        </w:rPr>
        <w:t>Duncan Bremner</w:t>
      </w:r>
    </w:p>
    <w:p w:rsidR="00804FC4" w:rsidRDefault="00804FC4" w:rsidP="00804FC4">
      <w:pPr>
        <w:spacing w:after="0" w:line="240" w:lineRule="auto"/>
        <w:rPr>
          <w:rFonts w:cs="Arial"/>
          <w:b/>
          <w:szCs w:val="20"/>
        </w:rPr>
      </w:pPr>
      <w:r w:rsidRPr="005E4936">
        <w:rPr>
          <w:rFonts w:cs="Arial"/>
          <w:b/>
          <w:szCs w:val="20"/>
        </w:rPr>
        <w:t>Chief Executive Officer</w:t>
      </w:r>
    </w:p>
    <w:p w:rsidR="00804FC4" w:rsidRPr="005E4936" w:rsidRDefault="00804FC4" w:rsidP="00804FC4">
      <w:pPr>
        <w:spacing w:after="0" w:line="240" w:lineRule="auto"/>
        <w:rPr>
          <w:rFonts w:cs="Arial"/>
          <w:b/>
          <w:szCs w:val="20"/>
        </w:rPr>
      </w:pPr>
    </w:p>
    <w:p w:rsidR="00804FC4" w:rsidRDefault="00804FC4" w:rsidP="00415029">
      <w:pPr>
        <w:spacing w:before="5160" w:line="240" w:lineRule="auto"/>
        <w:jc w:val="center"/>
        <w:rPr>
          <w:rFonts w:cs="Arial"/>
          <w:b/>
          <w:sz w:val="36"/>
          <w:szCs w:val="36"/>
        </w:rPr>
        <w:sectPr w:rsidR="00804FC4" w:rsidSect="00804FC4">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rsidR="00415029" w:rsidRPr="00EF74DA" w:rsidRDefault="00495CCD" w:rsidP="00495CCD">
      <w:pPr>
        <w:spacing w:before="2760" w:line="240" w:lineRule="auto"/>
        <w:jc w:val="center"/>
        <w:rPr>
          <w:rFonts w:cs="Arial"/>
          <w:b/>
          <w:i/>
          <w:color w:val="FFFFFF" w:themeColor="background1"/>
          <w:sz w:val="36"/>
          <w:szCs w:val="36"/>
        </w:rPr>
      </w:pPr>
      <w:r>
        <w:rPr>
          <w:noProof/>
          <w:lang w:eastAsia="en-AU"/>
        </w:rPr>
        <w:lastRenderedPageBreak/>
        <w:drawing>
          <wp:anchor distT="0" distB="0" distL="114300" distR="114300" simplePos="0" relativeHeight="251659264" behindDoc="1" locked="0" layoutInCell="1" allowOverlap="1">
            <wp:simplePos x="0" y="0"/>
            <wp:positionH relativeFrom="column">
              <wp:posOffset>-925901</wp:posOffset>
            </wp:positionH>
            <wp:positionV relativeFrom="paragraph">
              <wp:posOffset>-930982</wp:posOffset>
            </wp:positionV>
            <wp:extent cx="7574487" cy="10705487"/>
            <wp:effectExtent l="0" t="0" r="7620" b="635"/>
            <wp:wrapNone/>
            <wp:docPr id="2" name="Picture 2" descr="C:\Users\Michael Wright\Download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Wright\Downloads\backgrou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4487" cy="10705487"/>
                    </a:xfrm>
                    <a:prstGeom prst="rect">
                      <a:avLst/>
                    </a:prstGeom>
                    <a:noFill/>
                    <a:ln>
                      <a:noFill/>
                    </a:ln>
                  </pic:spPr>
                </pic:pic>
              </a:graphicData>
            </a:graphic>
          </wp:anchor>
        </w:drawing>
      </w:r>
      <w:r w:rsidR="00415029" w:rsidRPr="00495CCD">
        <w:rPr>
          <w:rFonts w:cs="Arial"/>
          <w:b/>
          <w:color w:val="FFFFFF" w:themeColor="background1"/>
          <w:sz w:val="36"/>
          <w:szCs w:val="36"/>
        </w:rPr>
        <w:t xml:space="preserve">SUBMISSION </w:t>
      </w:r>
      <w:r w:rsidR="00EF74DA">
        <w:rPr>
          <w:rFonts w:cs="Arial"/>
          <w:b/>
          <w:color w:val="FFFFFF" w:themeColor="background1"/>
          <w:sz w:val="36"/>
          <w:szCs w:val="36"/>
        </w:rPr>
        <w:t xml:space="preserve">IN RESPONSE TO </w:t>
      </w:r>
      <w:r w:rsidR="00EF74DA">
        <w:rPr>
          <w:rFonts w:cs="Arial"/>
          <w:b/>
          <w:color w:val="FFFFFF" w:themeColor="background1"/>
          <w:sz w:val="36"/>
          <w:szCs w:val="36"/>
        </w:rPr>
        <w:br/>
        <w:t xml:space="preserve">THE PHARMACY BOARD OF AUSTRALIA’S CONSULTATION ON DRAFT </w:t>
      </w:r>
      <w:r w:rsidR="00EF74DA">
        <w:rPr>
          <w:rFonts w:cs="Arial"/>
          <w:b/>
          <w:color w:val="FFFFFF" w:themeColor="background1"/>
          <w:sz w:val="36"/>
          <w:szCs w:val="36"/>
        </w:rPr>
        <w:br/>
      </w:r>
      <w:r w:rsidR="00EF74DA">
        <w:rPr>
          <w:rFonts w:cs="Arial"/>
          <w:b/>
          <w:i/>
          <w:color w:val="FFFFFF" w:themeColor="background1"/>
          <w:sz w:val="36"/>
          <w:szCs w:val="36"/>
        </w:rPr>
        <w:t>GUIDELINES ON COMPOUNDING OF MEDICINES</w:t>
      </w:r>
    </w:p>
    <w:p w:rsidR="00415029" w:rsidRDefault="00415029" w:rsidP="00415029">
      <w:pPr>
        <w:spacing w:line="240" w:lineRule="auto"/>
        <w:rPr>
          <w:rFonts w:cs="Arial"/>
        </w:rPr>
      </w:pPr>
    </w:p>
    <w:p w:rsidR="00415029" w:rsidRPr="00495CCD" w:rsidRDefault="00A2596C" w:rsidP="00415029">
      <w:pPr>
        <w:spacing w:before="720" w:line="240" w:lineRule="auto"/>
        <w:jc w:val="center"/>
        <w:rPr>
          <w:rFonts w:cs="Arial"/>
          <w:color w:val="FFFFFF" w:themeColor="background1"/>
          <w:sz w:val="28"/>
          <w:szCs w:val="28"/>
        </w:rPr>
      </w:pPr>
      <w:r>
        <w:rPr>
          <w:rFonts w:cs="Arial"/>
          <w:color w:val="FFFFFF" w:themeColor="background1"/>
          <w:sz w:val="28"/>
          <w:szCs w:val="28"/>
        </w:rPr>
        <w:t>8</w:t>
      </w:r>
      <w:r w:rsidR="00EF74DA">
        <w:rPr>
          <w:rFonts w:cs="Arial"/>
          <w:color w:val="FFFFFF" w:themeColor="background1"/>
          <w:sz w:val="28"/>
          <w:szCs w:val="28"/>
        </w:rPr>
        <w:t> July 2014</w:t>
      </w:r>
    </w:p>
    <w:p w:rsidR="00415029" w:rsidRDefault="00415029" w:rsidP="009802D8">
      <w:pPr>
        <w:rPr>
          <w:rFonts w:cs="Arial"/>
          <w:color w:val="000000"/>
          <w:szCs w:val="20"/>
        </w:rPr>
      </w:pPr>
    </w:p>
    <w:p w:rsidR="00415029" w:rsidRDefault="00415029" w:rsidP="009802D8">
      <w:pPr>
        <w:rPr>
          <w:rFonts w:cs="Arial"/>
          <w:color w:val="000000"/>
          <w:szCs w:val="20"/>
        </w:rPr>
      </w:pPr>
    </w:p>
    <w:p w:rsidR="00415029" w:rsidRDefault="00415029" w:rsidP="009802D8">
      <w:pPr>
        <w:rPr>
          <w:rFonts w:cs="Arial"/>
          <w:color w:val="000000"/>
          <w:szCs w:val="20"/>
        </w:rPr>
      </w:pPr>
    </w:p>
    <w:p w:rsidR="00415029" w:rsidRDefault="00415029" w:rsidP="009802D8">
      <w:pPr>
        <w:rPr>
          <w:rFonts w:cs="Arial"/>
          <w:color w:val="000000"/>
          <w:szCs w:val="20"/>
        </w:rPr>
      </w:pPr>
    </w:p>
    <w:p w:rsidR="00415029" w:rsidRDefault="00415029" w:rsidP="009802D8">
      <w:pPr>
        <w:rPr>
          <w:rFonts w:cs="Arial"/>
          <w:color w:val="000000"/>
          <w:szCs w:val="20"/>
        </w:rPr>
        <w:sectPr w:rsidR="00415029">
          <w:footerReference w:type="default" r:id="rId14"/>
          <w:pgSz w:w="11906" w:h="16838"/>
          <w:pgMar w:top="1440" w:right="1440" w:bottom="1440" w:left="1440" w:header="708" w:footer="708" w:gutter="0"/>
          <w:cols w:space="708"/>
          <w:docGrid w:linePitch="360"/>
        </w:sectPr>
      </w:pPr>
    </w:p>
    <w:p w:rsidR="00415029" w:rsidRPr="00415029" w:rsidRDefault="00415029" w:rsidP="00D76158">
      <w:pPr>
        <w:spacing w:before="360" w:line="240" w:lineRule="auto"/>
        <w:rPr>
          <w:rFonts w:cs="Arial"/>
          <w:b/>
          <w:sz w:val="22"/>
          <w:szCs w:val="22"/>
        </w:rPr>
      </w:pPr>
      <w:r w:rsidRPr="00415029">
        <w:rPr>
          <w:rFonts w:cs="Arial"/>
          <w:b/>
          <w:sz w:val="22"/>
          <w:szCs w:val="22"/>
        </w:rPr>
        <w:lastRenderedPageBreak/>
        <w:t>INTRODUCTION</w:t>
      </w:r>
    </w:p>
    <w:p w:rsidR="00415029" w:rsidRDefault="00415029" w:rsidP="00EF74DA">
      <w:r w:rsidRPr="00F906B0">
        <w:t xml:space="preserve">Animal Medicines Australia is the peak industry body representing the animal health industry in Australia. Animal Medicines Australia member companies are the innovators, manufacturers, formulators and registrants of a broad range of veterinary </w:t>
      </w:r>
      <w:r>
        <w:t>medicine products</w:t>
      </w:r>
      <w:r w:rsidRPr="00F906B0">
        <w:t xml:space="preserve"> that prevent, control and cure disease across the companion animal and livestock sectors. In the livestock sector, </w:t>
      </w:r>
      <w:r>
        <w:t>member company products</w:t>
      </w:r>
      <w:r w:rsidRPr="00F906B0">
        <w:t xml:space="preserve"> are improving agricultural yield while delivering improved environmental, health, safety and animal welfare outcomes.</w:t>
      </w:r>
      <w:r>
        <w:t xml:space="preserve"> </w:t>
      </w:r>
      <w:r w:rsidRPr="00F906B0">
        <w:t xml:space="preserve">In the companion animal sector, </w:t>
      </w:r>
      <w:r>
        <w:t xml:space="preserve">veterinary medicines produced by member companies are </w:t>
      </w:r>
      <w:r w:rsidR="00EF4AAF">
        <w:t>facilitating longer</w:t>
      </w:r>
      <w:r w:rsidR="008B6538">
        <w:t>, healthier</w:t>
      </w:r>
      <w:r w:rsidR="00EF4AAF">
        <w:t xml:space="preserve"> partnerships between humans and animals. Animal Medicines Australia works closely with a variety of industry organisations to promote an evidence based approach to public policy.</w:t>
      </w:r>
      <w:r>
        <w:t xml:space="preserve"> Animal Medicines Australia is a member of the International Federation for Animal Health.</w:t>
      </w:r>
    </w:p>
    <w:p w:rsidR="00EF74DA" w:rsidRDefault="00415029" w:rsidP="00EF74DA">
      <w:r>
        <w:t xml:space="preserve">Animal Medicines Australia and its member companies promote the responsible use of all veterinary medicines. Responsible use entails using products as little as possible and as much as necessary, for the correct duration and in accordance with the APVMA-approved usage pattern. Animal Medicines Australia and its member companies participate in industry stewardship activities including </w:t>
      </w:r>
      <w:r w:rsidRPr="00BC086E">
        <w:rPr>
          <w:b/>
          <w:i/>
        </w:rPr>
        <w:t>drum</w:t>
      </w:r>
      <w:r w:rsidRPr="00BC086E">
        <w:rPr>
          <w:i/>
        </w:rPr>
        <w:t>MUSTER</w:t>
      </w:r>
      <w:r>
        <w:t xml:space="preserve">, ChemClear® and Agsafe Accreditation and Training.  </w:t>
      </w:r>
    </w:p>
    <w:p w:rsidR="00EF74DA" w:rsidRPr="008B6538" w:rsidRDefault="008B6538" w:rsidP="008B6538">
      <w:pPr>
        <w:spacing w:before="360" w:line="240" w:lineRule="auto"/>
        <w:rPr>
          <w:rFonts w:cs="Arial"/>
          <w:b/>
          <w:sz w:val="22"/>
          <w:szCs w:val="22"/>
        </w:rPr>
      </w:pPr>
      <w:r>
        <w:rPr>
          <w:rFonts w:cs="Arial"/>
          <w:b/>
          <w:sz w:val="22"/>
          <w:szCs w:val="22"/>
        </w:rPr>
        <w:t>RESPONSES TO CONSULTATION QUESTIONS</w:t>
      </w:r>
    </w:p>
    <w:p w:rsidR="00EF74DA" w:rsidRDefault="00EF74DA" w:rsidP="00EF74DA">
      <w:pPr>
        <w:pStyle w:val="AHPRASubhead"/>
        <w:jc w:val="both"/>
      </w:pPr>
      <w:r w:rsidRPr="000D72F6">
        <w:t>Stakeholder Details</w:t>
      </w:r>
    </w:p>
    <w:p w:rsidR="00EF74DA" w:rsidRDefault="00EF74DA" w:rsidP="00EF74DA">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include background information about your organisation please provide this as a separate word document (not PDF). </w:t>
      </w:r>
    </w:p>
    <w:p w:rsidR="00EF74DA" w:rsidRPr="00A43430" w:rsidRDefault="00EF74DA" w:rsidP="00EF74DA">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firstRow="1" w:lastRow="0" w:firstColumn="1" w:lastColumn="0" w:noHBand="0" w:noVBand="1"/>
      </w:tblPr>
      <w:tblGrid>
        <w:gridCol w:w="9070"/>
      </w:tblGrid>
      <w:tr w:rsidR="00EF74DA" w:rsidTr="00AA4E96">
        <w:tc>
          <w:tcPr>
            <w:tcW w:w="5000" w:type="pct"/>
            <w:shd w:val="clear" w:color="auto" w:fill="DAEEF3" w:themeFill="accent5" w:themeFillTint="33"/>
          </w:tcPr>
          <w:p w:rsidR="00EF74DA" w:rsidRPr="00E8412E" w:rsidRDefault="00EF74DA" w:rsidP="00AA4E96">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EF74DA" w:rsidTr="00AA4E96">
        <w:tc>
          <w:tcPr>
            <w:tcW w:w="5000" w:type="pct"/>
          </w:tcPr>
          <w:p w:rsidR="00EF74DA" w:rsidRDefault="00EF74DA" w:rsidP="00AA4E96">
            <w:pPr>
              <w:pStyle w:val="TableText"/>
              <w:keepNext w:val="0"/>
              <w:spacing w:before="0" w:after="0"/>
              <w:jc w:val="both"/>
              <w:rPr>
                <w:rFonts w:ascii="Arial" w:hAnsi="Arial" w:cs="Arial"/>
                <w:color w:val="auto"/>
                <w:szCs w:val="20"/>
              </w:rPr>
            </w:pPr>
            <w:r>
              <w:rPr>
                <w:rFonts w:ascii="Arial" w:hAnsi="Arial" w:cs="Arial"/>
                <w:color w:val="auto"/>
                <w:szCs w:val="20"/>
              </w:rPr>
              <w:t>Animal Medicines Australia</w:t>
            </w:r>
          </w:p>
          <w:p w:rsidR="00EF74DA" w:rsidRPr="00E8412E" w:rsidRDefault="00EF74DA" w:rsidP="00AA4E96">
            <w:pPr>
              <w:pStyle w:val="TableText"/>
              <w:keepNext w:val="0"/>
              <w:spacing w:before="0" w:after="0"/>
              <w:jc w:val="both"/>
              <w:rPr>
                <w:rFonts w:ascii="Arial" w:hAnsi="Arial" w:cs="Arial"/>
                <w:color w:val="auto"/>
                <w:szCs w:val="20"/>
              </w:rPr>
            </w:pPr>
          </w:p>
        </w:tc>
      </w:tr>
      <w:tr w:rsidR="00EF74DA" w:rsidTr="00AA4E96">
        <w:tc>
          <w:tcPr>
            <w:tcW w:w="5000" w:type="pct"/>
            <w:shd w:val="clear" w:color="auto" w:fill="DAEEF3" w:themeFill="accent5" w:themeFillTint="33"/>
          </w:tcPr>
          <w:p w:rsidR="00EF74DA" w:rsidRDefault="00EF74DA" w:rsidP="00AA4E96">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EF74DA" w:rsidRPr="00E8412E" w:rsidRDefault="00EF74DA" w:rsidP="00AA4E96">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EF74DA" w:rsidTr="00AA4E96">
        <w:tc>
          <w:tcPr>
            <w:tcW w:w="5000" w:type="pct"/>
          </w:tcPr>
          <w:p w:rsidR="00EF74DA" w:rsidRDefault="00EF74DA" w:rsidP="00EF74DA">
            <w:pPr>
              <w:pStyle w:val="TableText"/>
              <w:keepNext w:val="0"/>
              <w:spacing w:after="0"/>
              <w:jc w:val="both"/>
              <w:rPr>
                <w:rFonts w:ascii="Arial" w:hAnsi="Arial" w:cs="Arial"/>
                <w:color w:val="auto"/>
                <w:szCs w:val="20"/>
              </w:rPr>
            </w:pPr>
            <w:r>
              <w:rPr>
                <w:rFonts w:ascii="Arial" w:hAnsi="Arial" w:cs="Arial"/>
                <w:color w:val="auto"/>
                <w:szCs w:val="20"/>
              </w:rPr>
              <w:t>Mr Michael Wright</w:t>
            </w:r>
          </w:p>
          <w:p w:rsidR="00EF74DA" w:rsidRDefault="00EF74DA" w:rsidP="0035573C">
            <w:pPr>
              <w:pStyle w:val="TableText"/>
              <w:keepNext w:val="0"/>
              <w:spacing w:before="0"/>
              <w:jc w:val="both"/>
              <w:rPr>
                <w:rFonts w:ascii="Arial" w:hAnsi="Arial" w:cs="Arial"/>
                <w:color w:val="auto"/>
                <w:szCs w:val="20"/>
              </w:rPr>
            </w:pPr>
            <w:r>
              <w:rPr>
                <w:rFonts w:ascii="Arial" w:hAnsi="Arial" w:cs="Arial"/>
                <w:color w:val="auto"/>
                <w:szCs w:val="20"/>
              </w:rPr>
              <w:t>Director, Corporate Affairs &amp; Regulatory Policy</w:t>
            </w:r>
          </w:p>
          <w:p w:rsidR="00EF74DA" w:rsidRPr="00E8412E" w:rsidRDefault="00EF74DA" w:rsidP="000B182C">
            <w:pPr>
              <w:pStyle w:val="Default"/>
              <w:rPr>
                <w:color w:val="auto"/>
                <w:szCs w:val="20"/>
              </w:rPr>
            </w:pPr>
            <w:r>
              <w:rPr>
                <w:color w:val="auto"/>
                <w:szCs w:val="20"/>
              </w:rPr>
              <w:t xml:space="preserve"> </w:t>
            </w:r>
            <w:r w:rsidR="00AA4E96">
              <w:t xml:space="preserve"> </w:t>
            </w:r>
            <w:r w:rsidR="00AA4E96" w:rsidRPr="00AA4E96">
              <w:rPr>
                <w:szCs w:val="20"/>
                <w:highlight w:val="black"/>
              </w:rPr>
              <w:t>[content redacted]</w:t>
            </w:r>
          </w:p>
        </w:tc>
      </w:tr>
    </w:tbl>
    <w:p w:rsidR="00EF74DA" w:rsidRPr="00E8412E" w:rsidRDefault="00EF74DA" w:rsidP="00EF74DA">
      <w:pPr>
        <w:pStyle w:val="AHPRASubhead"/>
        <w:spacing w:before="200"/>
        <w:jc w:val="both"/>
      </w:pPr>
      <w:r>
        <w:t xml:space="preserve">Your responses to consultation questions on the draft </w:t>
      </w:r>
      <w:r>
        <w:rPr>
          <w:i/>
        </w:rPr>
        <w:t>Guidelines on compounding of medicines</w:t>
      </w:r>
    </w:p>
    <w:tbl>
      <w:tblPr>
        <w:tblStyle w:val="TableGrid"/>
        <w:tblW w:w="4942" w:type="pct"/>
        <w:tblInd w:w="108" w:type="dxa"/>
        <w:tblLook w:val="04A0" w:firstRow="1" w:lastRow="0" w:firstColumn="1" w:lastColumn="0" w:noHBand="0" w:noVBand="1"/>
      </w:tblPr>
      <w:tblGrid>
        <w:gridCol w:w="9135"/>
      </w:tblGrid>
      <w:tr w:rsidR="00EF74DA" w:rsidRPr="0093789E" w:rsidTr="00AA4E96">
        <w:tc>
          <w:tcPr>
            <w:tcW w:w="5000" w:type="pct"/>
            <w:shd w:val="clear" w:color="auto" w:fill="DAEEF3" w:themeFill="accent5" w:themeFillTint="33"/>
          </w:tcPr>
          <w:p w:rsidR="00EF74DA" w:rsidRPr="00F65455" w:rsidRDefault="00EF74DA" w:rsidP="00EF74DA">
            <w:pPr>
              <w:pStyle w:val="TableText"/>
              <w:keepNext w:val="0"/>
              <w:numPr>
                <w:ilvl w:val="0"/>
                <w:numId w:val="43"/>
              </w:numPr>
              <w:spacing w:before="0" w:after="0"/>
              <w:jc w:val="both"/>
              <w:rPr>
                <w:rFonts w:ascii="Arial" w:hAnsi="Arial" w:cs="Arial"/>
                <w:szCs w:val="20"/>
              </w:rPr>
            </w:pPr>
            <w:r>
              <w:rPr>
                <w:rFonts w:ascii="Arial" w:hAnsi="Arial" w:cs="Arial"/>
                <w:szCs w:val="20"/>
              </w:rPr>
              <w:t xml:space="preserve">Do the draft </w:t>
            </w:r>
            <w:r w:rsidRPr="00F65455">
              <w:rPr>
                <w:rFonts w:ascii="Arial" w:hAnsi="Arial" w:cs="Arial"/>
                <w:color w:val="auto"/>
                <w:szCs w:val="20"/>
              </w:rPr>
              <w:t>guidelines</w:t>
            </w:r>
            <w:r>
              <w:rPr>
                <w:rFonts w:ascii="Arial" w:hAnsi="Arial" w:cs="Arial"/>
                <w:szCs w:val="20"/>
              </w:rPr>
              <w:t xml:space="preserve"> clearly differentiate between simple compounding and complex compounding?</w:t>
            </w:r>
          </w:p>
        </w:tc>
      </w:tr>
      <w:tr w:rsidR="00EF74DA" w:rsidRPr="00B12E0A" w:rsidTr="00AA4E96">
        <w:tc>
          <w:tcPr>
            <w:tcW w:w="5000" w:type="pct"/>
          </w:tcPr>
          <w:p w:rsidR="00EF74DA" w:rsidRPr="00B12E0A" w:rsidRDefault="008B6538" w:rsidP="00AA4E96">
            <w:pPr>
              <w:pStyle w:val="TableText"/>
              <w:keepNext w:val="0"/>
              <w:spacing w:before="0" w:after="0"/>
              <w:jc w:val="both"/>
              <w:rPr>
                <w:rFonts w:ascii="Arial" w:hAnsi="Arial" w:cs="Arial"/>
                <w:color w:val="auto"/>
                <w:szCs w:val="20"/>
              </w:rPr>
            </w:pPr>
            <w:r>
              <w:rPr>
                <w:rFonts w:ascii="Arial" w:hAnsi="Arial" w:cs="Arial"/>
                <w:color w:val="auto"/>
                <w:szCs w:val="20"/>
              </w:rPr>
              <w:t>Yes.</w:t>
            </w:r>
          </w:p>
          <w:p w:rsidR="00EF74DA" w:rsidRPr="00B12E0A" w:rsidRDefault="00EF74DA" w:rsidP="00AA4E96">
            <w:pPr>
              <w:pStyle w:val="TableText"/>
              <w:keepNext w:val="0"/>
              <w:spacing w:before="0" w:after="0"/>
              <w:jc w:val="both"/>
              <w:rPr>
                <w:rFonts w:ascii="Arial" w:hAnsi="Arial" w:cs="Arial"/>
                <w:color w:val="auto"/>
                <w:szCs w:val="20"/>
              </w:rPr>
            </w:pPr>
          </w:p>
        </w:tc>
      </w:tr>
      <w:tr w:rsidR="00EF74DA" w:rsidRPr="0093789E" w:rsidTr="00AA4E96">
        <w:tc>
          <w:tcPr>
            <w:tcW w:w="5000" w:type="pct"/>
            <w:shd w:val="clear" w:color="auto" w:fill="DAEEF3" w:themeFill="accent5" w:themeFillTint="33"/>
          </w:tcPr>
          <w:p w:rsidR="00EF74DA" w:rsidRPr="00F65455" w:rsidRDefault="00EF74DA" w:rsidP="00EF74DA">
            <w:pPr>
              <w:pStyle w:val="TableText"/>
              <w:keepNext w:val="0"/>
              <w:numPr>
                <w:ilvl w:val="0"/>
                <w:numId w:val="43"/>
              </w:numPr>
              <w:spacing w:before="0" w:after="0"/>
              <w:jc w:val="both"/>
              <w:rPr>
                <w:rFonts w:ascii="Arial" w:hAnsi="Arial" w:cs="Arial"/>
                <w:szCs w:val="20"/>
              </w:rPr>
            </w:pPr>
            <w:r>
              <w:rPr>
                <w:rFonts w:ascii="Arial" w:hAnsi="Arial" w:cs="Arial"/>
                <w:szCs w:val="20"/>
              </w:rPr>
              <w:t>Do the draft guidelines clearly outline which requirements apply to pharmacists who undertake either or both types of compounding (simple and/or complex compounding), and which requirements apply only to pharmacists who undertake complex compounding?</w:t>
            </w:r>
          </w:p>
        </w:tc>
      </w:tr>
      <w:tr w:rsidR="00EF74DA" w:rsidRPr="0093789E" w:rsidTr="00AA4E96">
        <w:tc>
          <w:tcPr>
            <w:tcW w:w="5000" w:type="pct"/>
            <w:shd w:val="clear" w:color="auto" w:fill="auto"/>
          </w:tcPr>
          <w:p w:rsidR="00EF74DA" w:rsidRDefault="00702EEF" w:rsidP="00AA4E96">
            <w:pPr>
              <w:pStyle w:val="TableText"/>
              <w:keepNext w:val="0"/>
              <w:spacing w:before="0" w:after="0"/>
              <w:jc w:val="both"/>
              <w:rPr>
                <w:rFonts w:ascii="Arial" w:hAnsi="Arial" w:cs="Arial"/>
                <w:color w:val="auto"/>
              </w:rPr>
            </w:pPr>
            <w:r>
              <w:rPr>
                <w:rFonts w:ascii="Arial" w:hAnsi="Arial" w:cs="Arial"/>
                <w:color w:val="auto"/>
              </w:rPr>
              <w:t>Assuming that a pharmacist has been able to determine which type(s) of compounding (simple and/or complex) they are undertaking, the guidelines provide a clear statement of the requirements applicable to her/him.</w:t>
            </w:r>
          </w:p>
          <w:p w:rsidR="00EF74DA" w:rsidRPr="0093789E" w:rsidRDefault="00EF74DA" w:rsidP="00AA4E96">
            <w:pPr>
              <w:pStyle w:val="TableText"/>
              <w:keepNext w:val="0"/>
              <w:spacing w:before="0" w:after="0"/>
              <w:jc w:val="both"/>
              <w:rPr>
                <w:rFonts w:ascii="Arial" w:hAnsi="Arial" w:cs="Arial"/>
                <w:color w:val="auto"/>
              </w:rPr>
            </w:pPr>
          </w:p>
        </w:tc>
      </w:tr>
      <w:tr w:rsidR="00EF74DA" w:rsidRPr="0093789E" w:rsidTr="00AA4E96">
        <w:tc>
          <w:tcPr>
            <w:tcW w:w="5000" w:type="pct"/>
            <w:shd w:val="clear" w:color="auto" w:fill="DAEEF3" w:themeFill="accent5" w:themeFillTint="33"/>
          </w:tcPr>
          <w:p w:rsidR="00EF74DA" w:rsidRPr="00F65455" w:rsidRDefault="00EF74DA" w:rsidP="00EF74DA">
            <w:pPr>
              <w:pStyle w:val="TableText"/>
              <w:keepNext w:val="0"/>
              <w:numPr>
                <w:ilvl w:val="0"/>
                <w:numId w:val="43"/>
              </w:numPr>
              <w:spacing w:before="0" w:after="0"/>
              <w:jc w:val="both"/>
              <w:rPr>
                <w:rFonts w:ascii="Arial" w:hAnsi="Arial" w:cs="Arial"/>
                <w:szCs w:val="20"/>
              </w:rPr>
            </w:pPr>
            <w:r w:rsidRPr="00DE4C79">
              <w:rPr>
                <w:rFonts w:ascii="Arial" w:hAnsi="Arial" w:cs="Arial"/>
                <w:szCs w:val="20"/>
              </w:rPr>
              <w:t>Is the content of the draft</w:t>
            </w:r>
            <w:r>
              <w:rPr>
                <w:rFonts w:ascii="Arial" w:hAnsi="Arial" w:cs="Arial"/>
                <w:szCs w:val="20"/>
              </w:rPr>
              <w:t xml:space="preserve"> guidelines </w:t>
            </w:r>
            <w:r w:rsidRPr="00DE4C79">
              <w:rPr>
                <w:rFonts w:ascii="Arial" w:hAnsi="Arial" w:cs="Arial"/>
                <w:szCs w:val="20"/>
              </w:rPr>
              <w:t>helpful?</w:t>
            </w:r>
          </w:p>
        </w:tc>
      </w:tr>
      <w:tr w:rsidR="00EF74DA" w:rsidRPr="0093789E" w:rsidTr="00AA4E96">
        <w:tc>
          <w:tcPr>
            <w:tcW w:w="5000" w:type="pct"/>
          </w:tcPr>
          <w:p w:rsidR="00EF74DA" w:rsidRPr="0093789E" w:rsidRDefault="00702EEF" w:rsidP="000B182C">
            <w:pPr>
              <w:pStyle w:val="TableText"/>
              <w:keepNext w:val="0"/>
              <w:spacing w:before="0" w:after="480"/>
              <w:jc w:val="both"/>
              <w:rPr>
                <w:rFonts w:ascii="Arial" w:hAnsi="Arial" w:cs="Arial"/>
                <w:color w:val="auto"/>
              </w:rPr>
            </w:pPr>
            <w:r>
              <w:rPr>
                <w:rFonts w:ascii="Arial" w:hAnsi="Arial" w:cs="Arial"/>
                <w:color w:val="auto"/>
              </w:rPr>
              <w:t>Yes.</w:t>
            </w:r>
          </w:p>
        </w:tc>
      </w:tr>
      <w:tr w:rsidR="00EF74DA" w:rsidRPr="0093789E" w:rsidTr="00AA4E96">
        <w:tc>
          <w:tcPr>
            <w:tcW w:w="5000" w:type="pct"/>
            <w:shd w:val="clear" w:color="auto" w:fill="DAEEF3" w:themeFill="accent5" w:themeFillTint="33"/>
          </w:tcPr>
          <w:p w:rsidR="00EF74DA" w:rsidRPr="00F65455" w:rsidRDefault="00EF74DA" w:rsidP="00EF74DA">
            <w:pPr>
              <w:pStyle w:val="TableText"/>
              <w:keepNext w:val="0"/>
              <w:numPr>
                <w:ilvl w:val="0"/>
                <w:numId w:val="43"/>
              </w:numPr>
              <w:spacing w:before="0" w:after="0"/>
              <w:jc w:val="both"/>
              <w:rPr>
                <w:rFonts w:ascii="Arial" w:hAnsi="Arial" w:cs="Arial"/>
                <w:szCs w:val="20"/>
              </w:rPr>
            </w:pPr>
            <w:r w:rsidRPr="00DE4C79">
              <w:rPr>
                <w:rFonts w:ascii="Arial" w:hAnsi="Arial" w:cs="Arial"/>
                <w:szCs w:val="20"/>
              </w:rPr>
              <w:t xml:space="preserve">Is </w:t>
            </w:r>
            <w:r w:rsidRPr="00F65455">
              <w:rPr>
                <w:rFonts w:ascii="Arial" w:hAnsi="Arial" w:cs="Arial"/>
                <w:color w:val="auto"/>
              </w:rPr>
              <w:t>there</w:t>
            </w:r>
            <w:r w:rsidRPr="00DE4C79">
              <w:rPr>
                <w:rFonts w:ascii="Arial" w:hAnsi="Arial" w:cs="Arial"/>
                <w:szCs w:val="20"/>
              </w:rPr>
              <w:t xml:space="preserve"> any content that needs to be changed, added or deleted in the draft </w:t>
            </w:r>
            <w:r>
              <w:rPr>
                <w:rFonts w:ascii="Arial" w:hAnsi="Arial" w:cs="Arial"/>
                <w:szCs w:val="20"/>
              </w:rPr>
              <w:t>guidelines</w:t>
            </w:r>
            <w:r w:rsidRPr="00DE4C79">
              <w:rPr>
                <w:rFonts w:ascii="Arial" w:hAnsi="Arial" w:cs="Arial"/>
                <w:szCs w:val="20"/>
              </w:rPr>
              <w:t>?</w:t>
            </w:r>
          </w:p>
        </w:tc>
      </w:tr>
      <w:tr w:rsidR="00EF74DA" w:rsidRPr="0093789E" w:rsidTr="00AA4E96">
        <w:tc>
          <w:tcPr>
            <w:tcW w:w="5000" w:type="pct"/>
          </w:tcPr>
          <w:p w:rsidR="00C16364" w:rsidRDefault="00A904F2" w:rsidP="00702EEF">
            <w:pPr>
              <w:pStyle w:val="TableText"/>
              <w:keepNext w:val="0"/>
              <w:numPr>
                <w:ilvl w:val="1"/>
                <w:numId w:val="43"/>
              </w:numPr>
              <w:spacing w:after="0"/>
              <w:jc w:val="both"/>
              <w:rPr>
                <w:rFonts w:ascii="Arial" w:hAnsi="Arial" w:cs="Arial"/>
                <w:b/>
                <w:color w:val="auto"/>
              </w:rPr>
            </w:pPr>
            <w:r>
              <w:rPr>
                <w:rFonts w:ascii="Arial" w:hAnsi="Arial" w:cs="Arial"/>
                <w:b/>
                <w:color w:val="auto"/>
              </w:rPr>
              <w:t>Availability and suitability of commercial products</w:t>
            </w:r>
          </w:p>
          <w:p w:rsidR="000F4FA1" w:rsidRDefault="000F4FA1" w:rsidP="000F4FA1">
            <w:pPr>
              <w:pStyle w:val="TableText"/>
              <w:keepNext w:val="0"/>
              <w:jc w:val="both"/>
              <w:rPr>
                <w:rFonts w:ascii="Arial" w:hAnsi="Arial" w:cs="Arial"/>
                <w:color w:val="auto"/>
              </w:rPr>
            </w:pPr>
            <w:r>
              <w:rPr>
                <w:rFonts w:ascii="Arial" w:hAnsi="Arial" w:cs="Arial"/>
                <w:color w:val="auto"/>
              </w:rPr>
              <w:t>Page 10 of the draft guideline includes the following:</w:t>
            </w:r>
          </w:p>
          <w:p w:rsidR="000F4FA1" w:rsidRPr="00F17DB7" w:rsidRDefault="000F4FA1" w:rsidP="000F4FA1">
            <w:pPr>
              <w:pStyle w:val="TableText"/>
              <w:keepNext w:val="0"/>
              <w:spacing w:before="0" w:after="0"/>
              <w:ind w:left="720"/>
              <w:jc w:val="both"/>
              <w:rPr>
                <w:rFonts w:ascii="Arial" w:hAnsi="Arial" w:cs="Arial"/>
                <w:i/>
                <w:color w:val="auto"/>
                <w:sz w:val="18"/>
                <w:szCs w:val="18"/>
              </w:rPr>
            </w:pPr>
            <w:r w:rsidRPr="00F17DB7">
              <w:rPr>
                <w:rFonts w:ascii="Arial" w:hAnsi="Arial" w:cs="Arial"/>
                <w:i/>
                <w:color w:val="auto"/>
                <w:sz w:val="18"/>
                <w:szCs w:val="18"/>
              </w:rPr>
              <w:lastRenderedPageBreak/>
              <w:t>“A compounded medicine should be prepared only:</w:t>
            </w:r>
          </w:p>
          <w:p w:rsidR="000F4FA1" w:rsidRPr="00F17DB7" w:rsidRDefault="000F4FA1" w:rsidP="000F4FA1">
            <w:pPr>
              <w:pStyle w:val="TableText"/>
              <w:keepNext w:val="0"/>
              <w:numPr>
                <w:ilvl w:val="0"/>
                <w:numId w:val="45"/>
              </w:numPr>
              <w:spacing w:before="0"/>
              <w:jc w:val="both"/>
              <w:rPr>
                <w:rFonts w:ascii="Arial" w:hAnsi="Arial" w:cs="Arial"/>
                <w:i/>
                <w:color w:val="auto"/>
                <w:sz w:val="18"/>
                <w:szCs w:val="18"/>
              </w:rPr>
            </w:pPr>
            <w:r w:rsidRPr="00F17DB7">
              <w:rPr>
                <w:rFonts w:ascii="Arial" w:hAnsi="Arial" w:cs="Arial"/>
                <w:i/>
                <w:color w:val="auto"/>
                <w:sz w:val="18"/>
                <w:szCs w:val="18"/>
              </w:rPr>
              <w:t>in circumstances where an appropriate commercial product is unavailable or unsuitable…”</w:t>
            </w:r>
          </w:p>
          <w:p w:rsidR="000F4FA1" w:rsidRPr="00C728C0" w:rsidRDefault="002B4B2D" w:rsidP="000F4FA1">
            <w:pPr>
              <w:pStyle w:val="TableText"/>
              <w:keepNext w:val="0"/>
              <w:spacing w:before="0" w:after="0"/>
              <w:jc w:val="both"/>
              <w:rPr>
                <w:rFonts w:ascii="Arial" w:hAnsi="Arial" w:cs="Arial"/>
                <w:color w:val="auto"/>
                <w:szCs w:val="20"/>
              </w:rPr>
            </w:pPr>
            <w:r>
              <w:rPr>
                <w:rFonts w:ascii="Arial" w:hAnsi="Arial" w:cs="Arial"/>
                <w:color w:val="auto"/>
                <w:szCs w:val="20"/>
              </w:rPr>
              <w:t>Animal Medicines Australia supports the recommendation made by the Australian Veterinary Association to amend th</w:t>
            </w:r>
            <w:r w:rsidR="00845714">
              <w:rPr>
                <w:rFonts w:ascii="Arial" w:hAnsi="Arial" w:cs="Arial"/>
                <w:color w:val="auto"/>
                <w:szCs w:val="20"/>
              </w:rPr>
              <w:t xml:space="preserve">is guideline to make clear that the legislative exemptions that exist to facilitate compounding do not support the effective substitution of suitable and available registered products. If a compounded product is essentially the same as a registered/commercial product, </w:t>
            </w:r>
            <w:r w:rsidR="00412F8B">
              <w:rPr>
                <w:rFonts w:ascii="Arial" w:hAnsi="Arial" w:cs="Arial"/>
                <w:color w:val="auto"/>
                <w:szCs w:val="20"/>
              </w:rPr>
              <w:t xml:space="preserve">then minor changes in formulation do not in truth render the compounded product a novel drug. Of course, there will always be questions of degree involved in the assessment of whether a compounded medicine is </w:t>
            </w:r>
            <w:r w:rsidR="00412F8B">
              <w:rPr>
                <w:rFonts w:ascii="Arial" w:hAnsi="Arial" w:cs="Arial"/>
                <w:i/>
                <w:color w:val="auto"/>
                <w:szCs w:val="20"/>
              </w:rPr>
              <w:t>essentially</w:t>
            </w:r>
            <w:r w:rsidR="00412F8B">
              <w:rPr>
                <w:rFonts w:ascii="Arial" w:hAnsi="Arial" w:cs="Arial"/>
                <w:color w:val="auto"/>
                <w:szCs w:val="20"/>
              </w:rPr>
              <w:t xml:space="preserve"> the same as a registered medicinal product. By highlighting the legal risk associated with closely replicating a registered medicinal product, however, the guidelines would discourage the abuse of the traditional compounding function of pharmacists. </w:t>
            </w:r>
          </w:p>
          <w:p w:rsidR="00EF74DA" w:rsidRPr="00412F8B" w:rsidRDefault="00702EEF" w:rsidP="00412F8B">
            <w:pPr>
              <w:pStyle w:val="TableText"/>
              <w:keepNext w:val="0"/>
              <w:numPr>
                <w:ilvl w:val="1"/>
                <w:numId w:val="43"/>
              </w:numPr>
              <w:spacing w:before="360" w:after="0"/>
              <w:jc w:val="both"/>
              <w:rPr>
                <w:rFonts w:ascii="Arial" w:hAnsi="Arial" w:cs="Arial"/>
                <w:b/>
                <w:color w:val="auto"/>
              </w:rPr>
            </w:pPr>
            <w:r w:rsidRPr="00412F8B">
              <w:rPr>
                <w:rFonts w:ascii="Arial" w:hAnsi="Arial" w:cs="Arial"/>
                <w:b/>
                <w:color w:val="auto"/>
              </w:rPr>
              <w:t>Definitions of “Compounding”</w:t>
            </w:r>
            <w:r w:rsidR="000172DB" w:rsidRPr="00412F8B">
              <w:rPr>
                <w:rFonts w:ascii="Arial" w:hAnsi="Arial" w:cs="Arial"/>
                <w:b/>
                <w:color w:val="auto"/>
              </w:rPr>
              <w:t xml:space="preserve"> and</w:t>
            </w:r>
            <w:r w:rsidRPr="00412F8B">
              <w:rPr>
                <w:rFonts w:ascii="Arial" w:hAnsi="Arial" w:cs="Arial"/>
                <w:b/>
                <w:color w:val="auto"/>
              </w:rPr>
              <w:t xml:space="preserve"> “Simple compounding”</w:t>
            </w:r>
          </w:p>
          <w:p w:rsidR="000172DB" w:rsidRDefault="0047662B" w:rsidP="000172DB">
            <w:pPr>
              <w:pStyle w:val="TableText"/>
              <w:keepNext w:val="0"/>
              <w:spacing w:after="0"/>
              <w:jc w:val="both"/>
              <w:rPr>
                <w:rFonts w:ascii="Arial" w:hAnsi="Arial" w:cs="Arial"/>
                <w:color w:val="auto"/>
              </w:rPr>
            </w:pPr>
            <w:r>
              <w:rPr>
                <w:rFonts w:ascii="Arial" w:hAnsi="Arial" w:cs="Arial"/>
                <w:color w:val="auto"/>
              </w:rPr>
              <w:t>It is important that the language used in the Pharmacy Board’</w:t>
            </w:r>
            <w:r w:rsidR="00552B4D">
              <w:rPr>
                <w:rFonts w:ascii="Arial" w:hAnsi="Arial" w:cs="Arial"/>
                <w:color w:val="auto"/>
              </w:rPr>
              <w:t>s guideline</w:t>
            </w:r>
            <w:r>
              <w:rPr>
                <w:rFonts w:ascii="Arial" w:hAnsi="Arial" w:cs="Arial"/>
                <w:color w:val="auto"/>
              </w:rPr>
              <w:t xml:space="preserve"> reflects the fact that </w:t>
            </w:r>
            <w:r w:rsidR="00552B4D">
              <w:rPr>
                <w:rFonts w:ascii="Arial" w:hAnsi="Arial" w:cs="Arial"/>
                <w:color w:val="auto"/>
              </w:rPr>
              <w:t>it</w:t>
            </w:r>
            <w:r>
              <w:rPr>
                <w:rFonts w:ascii="Arial" w:hAnsi="Arial" w:cs="Arial"/>
                <w:color w:val="auto"/>
              </w:rPr>
              <w:t xml:space="preserve"> </w:t>
            </w:r>
            <w:r w:rsidR="00552B4D">
              <w:rPr>
                <w:rFonts w:ascii="Arial" w:hAnsi="Arial" w:cs="Arial"/>
                <w:color w:val="auto"/>
              </w:rPr>
              <w:t>applies</w:t>
            </w:r>
            <w:r>
              <w:rPr>
                <w:rFonts w:ascii="Arial" w:hAnsi="Arial" w:cs="Arial"/>
                <w:color w:val="auto"/>
              </w:rPr>
              <w:t xml:space="preserve"> to compounding undertaken for human </w:t>
            </w:r>
            <w:r>
              <w:rPr>
                <w:rFonts w:ascii="Arial" w:hAnsi="Arial" w:cs="Arial"/>
                <w:i/>
                <w:color w:val="auto"/>
              </w:rPr>
              <w:t xml:space="preserve">and </w:t>
            </w:r>
            <w:r w:rsidR="0063377D">
              <w:rPr>
                <w:rFonts w:ascii="Arial" w:hAnsi="Arial" w:cs="Arial"/>
                <w:color w:val="auto"/>
              </w:rPr>
              <w:t xml:space="preserve">non-human </w:t>
            </w:r>
            <w:r>
              <w:rPr>
                <w:rFonts w:ascii="Arial" w:hAnsi="Arial" w:cs="Arial"/>
                <w:color w:val="auto"/>
              </w:rPr>
              <w:t xml:space="preserve">animal patients. </w:t>
            </w:r>
          </w:p>
          <w:p w:rsidR="006A0522" w:rsidRPr="0047662B" w:rsidRDefault="000172DB" w:rsidP="000172DB">
            <w:pPr>
              <w:pStyle w:val="TableText"/>
              <w:keepNext w:val="0"/>
              <w:spacing w:before="0" w:after="0"/>
              <w:jc w:val="both"/>
              <w:rPr>
                <w:rFonts w:ascii="Arial" w:hAnsi="Arial" w:cs="Arial"/>
                <w:b/>
                <w:color w:val="auto"/>
              </w:rPr>
            </w:pPr>
            <w:r>
              <w:rPr>
                <w:rFonts w:ascii="Arial" w:hAnsi="Arial" w:cs="Arial"/>
                <w:color w:val="auto"/>
              </w:rPr>
              <w:t>Accordingly, Animal Medicines Australia recommends that the definition of “Compounding” and “Simple compounding”</w:t>
            </w:r>
            <w:r w:rsidR="006A0522">
              <w:rPr>
                <w:rFonts w:ascii="Arial" w:hAnsi="Arial" w:cs="Arial"/>
                <w:color w:val="auto"/>
              </w:rPr>
              <w:t xml:space="preserve"> be amended to include explicit reference to animal patients. At present, these definitions refer to use by “a specific person”, </w:t>
            </w:r>
            <w:r w:rsidR="00552B4D">
              <w:rPr>
                <w:rFonts w:ascii="Arial" w:hAnsi="Arial" w:cs="Arial"/>
                <w:color w:val="auto"/>
              </w:rPr>
              <w:t>which may give</w:t>
            </w:r>
            <w:r w:rsidR="006A0522">
              <w:rPr>
                <w:rFonts w:ascii="Arial" w:hAnsi="Arial" w:cs="Arial"/>
                <w:color w:val="auto"/>
              </w:rPr>
              <w:t xml:space="preserve"> </w:t>
            </w:r>
            <w:r w:rsidR="00552B4D">
              <w:rPr>
                <w:rFonts w:ascii="Arial" w:hAnsi="Arial" w:cs="Arial"/>
                <w:color w:val="auto"/>
              </w:rPr>
              <w:t>the impression that veterinary compounding is not included within the ambit of the guideline.</w:t>
            </w:r>
            <w:r w:rsidR="006A0522">
              <w:rPr>
                <w:rFonts w:ascii="Arial" w:hAnsi="Arial" w:cs="Arial"/>
                <w:color w:val="auto"/>
              </w:rPr>
              <w:t xml:space="preserve"> </w:t>
            </w:r>
            <w:r w:rsidR="0047662B">
              <w:rPr>
                <w:rFonts w:ascii="Arial" w:hAnsi="Arial" w:cs="Arial"/>
                <w:color w:val="auto"/>
              </w:rPr>
              <w:t xml:space="preserve">Express reference to </w:t>
            </w:r>
            <w:r w:rsidR="0063377D">
              <w:rPr>
                <w:rFonts w:ascii="Arial" w:hAnsi="Arial" w:cs="Arial"/>
                <w:color w:val="auto"/>
              </w:rPr>
              <w:t xml:space="preserve">non-human </w:t>
            </w:r>
            <w:r w:rsidR="0047662B">
              <w:rPr>
                <w:rFonts w:ascii="Arial" w:hAnsi="Arial" w:cs="Arial"/>
                <w:color w:val="auto"/>
              </w:rPr>
              <w:t xml:space="preserve">animal patients would assist pharmacists to identify the scope of their obligations under the Pharmacy Board’s guidelines. </w:t>
            </w:r>
          </w:p>
          <w:p w:rsidR="00C87EF2" w:rsidRDefault="00C87EF2" w:rsidP="00AA4E96">
            <w:pPr>
              <w:pStyle w:val="TableText"/>
              <w:keepNext w:val="0"/>
              <w:numPr>
                <w:ilvl w:val="1"/>
                <w:numId w:val="43"/>
              </w:numPr>
              <w:spacing w:before="360" w:after="0"/>
              <w:jc w:val="both"/>
              <w:rPr>
                <w:rFonts w:ascii="Arial" w:hAnsi="Arial" w:cs="Arial"/>
                <w:b/>
                <w:color w:val="auto"/>
              </w:rPr>
            </w:pPr>
            <w:r>
              <w:rPr>
                <w:rFonts w:ascii="Arial" w:hAnsi="Arial" w:cs="Arial"/>
                <w:b/>
                <w:color w:val="auto"/>
              </w:rPr>
              <w:t>Highlighting the consequences of non-compliance with the Pharmacy Board’s guidelines</w:t>
            </w:r>
          </w:p>
          <w:p w:rsidR="00C87EF2" w:rsidRDefault="005B4881" w:rsidP="00C87EF2">
            <w:pPr>
              <w:pStyle w:val="TableText"/>
              <w:keepNext w:val="0"/>
              <w:spacing w:after="0"/>
              <w:jc w:val="both"/>
              <w:rPr>
                <w:rFonts w:ascii="Arial" w:hAnsi="Arial" w:cs="Arial"/>
                <w:color w:val="auto"/>
              </w:rPr>
            </w:pPr>
            <w:r>
              <w:rPr>
                <w:rFonts w:ascii="Arial" w:hAnsi="Arial" w:cs="Arial"/>
                <w:color w:val="auto"/>
              </w:rPr>
              <w:t xml:space="preserve">The compounding pharmacist’s enjoyment of exemption from regulation under the Agvet Code is contingent on her or his compliance with professional standards as articulated in documents including the guideline currently under consideration. </w:t>
            </w:r>
          </w:p>
          <w:p w:rsidR="005B4881" w:rsidRDefault="005B4881" w:rsidP="00C87EF2">
            <w:pPr>
              <w:pStyle w:val="TableText"/>
              <w:keepNext w:val="0"/>
              <w:spacing w:after="0"/>
              <w:jc w:val="both"/>
              <w:rPr>
                <w:rFonts w:ascii="Arial" w:hAnsi="Arial" w:cs="Arial"/>
                <w:color w:val="auto"/>
              </w:rPr>
            </w:pPr>
            <w:r>
              <w:rPr>
                <w:rFonts w:ascii="Arial" w:hAnsi="Arial" w:cs="Arial"/>
                <w:color w:val="auto"/>
              </w:rPr>
              <w:t xml:space="preserve">If a pharmacist prepares a medicinal product in a manner that does not comply with the Pharmacy Board’s guidelines in relation to compounding of medicines, the </w:t>
            </w:r>
            <w:r w:rsidR="00064A00">
              <w:rPr>
                <w:rFonts w:ascii="Arial" w:hAnsi="Arial" w:cs="Arial"/>
                <w:color w:val="auto"/>
              </w:rPr>
              <w:t>law treats the product as a veterinary chemical product for the purposes of the Agvet Code and attaches serious penalties to various dealings with unregistered chemical products.</w:t>
            </w:r>
            <w:r>
              <w:rPr>
                <w:rFonts w:ascii="Arial" w:hAnsi="Arial" w:cs="Arial"/>
                <w:color w:val="auto"/>
              </w:rPr>
              <w:t xml:space="preserve"> </w:t>
            </w:r>
            <w:r w:rsidR="00FE5A28">
              <w:rPr>
                <w:rFonts w:ascii="Arial" w:hAnsi="Arial" w:cs="Arial"/>
                <w:color w:val="auto"/>
              </w:rPr>
              <w:t>These penalties ought to be directly referred to in the guidelines.</w:t>
            </w:r>
          </w:p>
          <w:p w:rsidR="00EF74DA" w:rsidRPr="0093789E" w:rsidRDefault="00B24E4C" w:rsidP="008B6538">
            <w:pPr>
              <w:pStyle w:val="TableText"/>
              <w:keepNext w:val="0"/>
              <w:jc w:val="both"/>
              <w:rPr>
                <w:rFonts w:ascii="Arial" w:hAnsi="Arial" w:cs="Arial"/>
                <w:color w:val="auto"/>
              </w:rPr>
            </w:pPr>
            <w:r>
              <w:rPr>
                <w:rFonts w:ascii="Arial" w:hAnsi="Arial" w:cs="Arial"/>
                <w:color w:val="auto"/>
              </w:rPr>
              <w:t xml:space="preserve">The guidelines should include a clear statement of the present state of the law that prohibits the compounding of veterinary products prior to, or without, instruction from a veterinary practitioner. That is, the compounding pharmacist who prepares a product in the expectation that a veterinary prescription for that product will likely be created at some point in the near future is committing an offence to which serious consequences attach under the Agvet Code. </w:t>
            </w:r>
            <w:r w:rsidR="008B6538">
              <w:rPr>
                <w:rFonts w:ascii="Arial" w:hAnsi="Arial" w:cs="Arial"/>
                <w:color w:val="auto"/>
              </w:rPr>
              <w:t xml:space="preserve">A prior instruction must exist for a compounded substance to be placed beyond the definition of a veterinary chemical product for the purposes of the Agvet Code. </w:t>
            </w:r>
          </w:p>
        </w:tc>
      </w:tr>
      <w:tr w:rsidR="00EF74DA" w:rsidRPr="0093789E" w:rsidTr="00AA4E96">
        <w:tc>
          <w:tcPr>
            <w:tcW w:w="5000" w:type="pct"/>
            <w:tcBorders>
              <w:bottom w:val="single" w:sz="4" w:space="0" w:color="auto"/>
            </w:tcBorders>
            <w:shd w:val="clear" w:color="auto" w:fill="DAEEF3" w:themeFill="accent5" w:themeFillTint="33"/>
          </w:tcPr>
          <w:p w:rsidR="00EF74DA" w:rsidRPr="00F65455" w:rsidRDefault="00EF74DA" w:rsidP="00EF74DA">
            <w:pPr>
              <w:pStyle w:val="TableText"/>
              <w:keepNext w:val="0"/>
              <w:numPr>
                <w:ilvl w:val="0"/>
                <w:numId w:val="43"/>
              </w:numPr>
              <w:spacing w:before="0" w:after="0"/>
              <w:jc w:val="both"/>
              <w:rPr>
                <w:rFonts w:ascii="Arial" w:hAnsi="Arial" w:cs="Arial"/>
                <w:szCs w:val="20"/>
              </w:rPr>
            </w:pPr>
            <w:r>
              <w:rPr>
                <w:rFonts w:ascii="Arial" w:hAnsi="Arial" w:cs="Arial"/>
                <w:szCs w:val="20"/>
              </w:rPr>
              <w:lastRenderedPageBreak/>
              <w:t xml:space="preserve">Do you have any suggestions for questions to be answered in Frequently Asked Questions developed by the Board to support the guidelines? </w:t>
            </w:r>
          </w:p>
        </w:tc>
      </w:tr>
      <w:tr w:rsidR="00EF74DA" w:rsidRPr="0093789E" w:rsidTr="00AA4E96">
        <w:tc>
          <w:tcPr>
            <w:tcW w:w="5000" w:type="pct"/>
            <w:shd w:val="clear" w:color="auto" w:fill="auto"/>
          </w:tcPr>
          <w:p w:rsidR="008B6538" w:rsidRDefault="008B6538" w:rsidP="008B6538">
            <w:pPr>
              <w:pStyle w:val="TableText"/>
              <w:keepNext w:val="0"/>
              <w:numPr>
                <w:ilvl w:val="1"/>
                <w:numId w:val="43"/>
              </w:numPr>
              <w:spacing w:after="0"/>
              <w:jc w:val="both"/>
              <w:rPr>
                <w:rFonts w:ascii="Arial" w:hAnsi="Arial" w:cs="Arial"/>
              </w:rPr>
            </w:pPr>
            <w:r>
              <w:rPr>
                <w:rFonts w:ascii="Arial" w:hAnsi="Arial" w:cs="Arial"/>
              </w:rPr>
              <w:t xml:space="preserve">The definition given for compounding needs to be more explicitly stressed in FAQ, i.e. limited to extemporaneous preparation </w:t>
            </w:r>
            <w:r w:rsidRPr="008B6538">
              <w:rPr>
                <w:rFonts w:ascii="Arial" w:hAnsi="Arial" w:cs="Arial"/>
                <w:color w:val="auto"/>
              </w:rPr>
              <w:t>and</w:t>
            </w:r>
            <w:r>
              <w:rPr>
                <w:rFonts w:ascii="Arial" w:hAnsi="Arial" w:cs="Arial"/>
              </w:rPr>
              <w:t xml:space="preserve"> supply of a single unit for immediate use”. Not to be prepared in wholesale batches, as is the situation with some compounders of veterinary products who are in direct competition with highly regulated GMP-approved manufacturers of approved veterinary pharmaceuticals. </w:t>
            </w:r>
          </w:p>
          <w:p w:rsidR="008B6538" w:rsidRDefault="008B6538" w:rsidP="008B6538">
            <w:pPr>
              <w:pStyle w:val="TableText"/>
              <w:keepNext w:val="0"/>
              <w:numPr>
                <w:ilvl w:val="1"/>
                <w:numId w:val="43"/>
              </w:numPr>
              <w:spacing w:after="0"/>
              <w:jc w:val="both"/>
              <w:rPr>
                <w:rFonts w:ascii="Arial" w:hAnsi="Arial" w:cs="Arial"/>
              </w:rPr>
            </w:pPr>
            <w:r>
              <w:rPr>
                <w:rFonts w:ascii="Arial" w:hAnsi="Arial" w:cs="Arial"/>
              </w:rPr>
              <w:t xml:space="preserve">I am a pharmacist who receives a report of a clinically significant adverse experience relating to a compounded veterinary product. Who do I report this to? </w:t>
            </w:r>
          </w:p>
          <w:p w:rsidR="00EF74DA" w:rsidRPr="0093789E" w:rsidRDefault="00EF74DA" w:rsidP="008B6538">
            <w:pPr>
              <w:pStyle w:val="TableText"/>
              <w:keepNext w:val="0"/>
              <w:spacing w:before="0" w:after="0"/>
              <w:jc w:val="both"/>
              <w:rPr>
                <w:rFonts w:ascii="Arial" w:hAnsi="Arial" w:cs="Arial"/>
              </w:rPr>
            </w:pPr>
          </w:p>
        </w:tc>
      </w:tr>
      <w:tr w:rsidR="00EF74DA" w:rsidRPr="0093789E" w:rsidTr="00AA4E96">
        <w:tc>
          <w:tcPr>
            <w:tcW w:w="5000" w:type="pct"/>
            <w:shd w:val="clear" w:color="auto" w:fill="DAEEF3" w:themeFill="accent5" w:themeFillTint="33"/>
          </w:tcPr>
          <w:p w:rsidR="00EF74DA" w:rsidRPr="00F65455" w:rsidRDefault="00EF74DA" w:rsidP="00EF74DA">
            <w:pPr>
              <w:pStyle w:val="TableText"/>
              <w:keepNext w:val="0"/>
              <w:numPr>
                <w:ilvl w:val="0"/>
                <w:numId w:val="43"/>
              </w:numPr>
              <w:spacing w:before="0" w:after="0"/>
              <w:jc w:val="both"/>
              <w:rPr>
                <w:rFonts w:ascii="Arial" w:hAnsi="Arial" w:cs="Arial"/>
                <w:szCs w:val="20"/>
              </w:rPr>
            </w:pPr>
            <w:r w:rsidRPr="000E4EED">
              <w:rPr>
                <w:rFonts w:ascii="Arial" w:hAnsi="Arial" w:cs="Arial"/>
                <w:szCs w:val="20"/>
              </w:rPr>
              <w:t xml:space="preserve">Is the </w:t>
            </w:r>
            <w:r w:rsidRPr="00F65455">
              <w:rPr>
                <w:rFonts w:ascii="Arial" w:hAnsi="Arial" w:cs="Arial"/>
                <w:color w:val="auto"/>
              </w:rPr>
              <w:t>purpose</w:t>
            </w:r>
            <w:r w:rsidRPr="000E4EED">
              <w:rPr>
                <w:rFonts w:ascii="Arial" w:hAnsi="Arial" w:cs="Arial"/>
                <w:szCs w:val="20"/>
              </w:rPr>
              <w:t xml:space="preserve"> of the practice profile clearly explained in the draft guidelines?</w:t>
            </w:r>
          </w:p>
        </w:tc>
      </w:tr>
      <w:tr w:rsidR="00EF74DA" w:rsidRPr="0093789E" w:rsidTr="00AA4E96">
        <w:tc>
          <w:tcPr>
            <w:tcW w:w="5000" w:type="pct"/>
          </w:tcPr>
          <w:p w:rsidR="00EF74DA" w:rsidRPr="0093789E" w:rsidRDefault="008B6538" w:rsidP="000B182C">
            <w:pPr>
              <w:pStyle w:val="TableText"/>
              <w:keepNext w:val="0"/>
              <w:spacing w:after="240"/>
              <w:jc w:val="both"/>
              <w:rPr>
                <w:rFonts w:ascii="Arial" w:hAnsi="Arial" w:cs="Arial"/>
                <w:color w:val="auto"/>
              </w:rPr>
            </w:pPr>
            <w:r>
              <w:rPr>
                <w:rFonts w:ascii="Arial" w:hAnsi="Arial" w:cs="Arial"/>
                <w:color w:val="auto"/>
              </w:rPr>
              <w:t>Yes.</w:t>
            </w:r>
          </w:p>
        </w:tc>
      </w:tr>
      <w:tr w:rsidR="00EF74DA" w:rsidRPr="0093789E" w:rsidTr="00AA4E96">
        <w:tc>
          <w:tcPr>
            <w:tcW w:w="5000" w:type="pct"/>
            <w:shd w:val="clear" w:color="auto" w:fill="DAEEF3" w:themeFill="accent5" w:themeFillTint="33"/>
          </w:tcPr>
          <w:p w:rsidR="00EF74DA" w:rsidRPr="00F65455" w:rsidRDefault="00EF74DA" w:rsidP="00EF74DA">
            <w:pPr>
              <w:pStyle w:val="TableText"/>
              <w:keepNext w:val="0"/>
              <w:numPr>
                <w:ilvl w:val="0"/>
                <w:numId w:val="43"/>
              </w:numPr>
              <w:spacing w:before="0" w:after="0"/>
              <w:jc w:val="both"/>
              <w:rPr>
                <w:rFonts w:ascii="Arial" w:hAnsi="Arial" w:cs="Arial"/>
                <w:szCs w:val="20"/>
              </w:rPr>
            </w:pPr>
            <w:r w:rsidRPr="00DE4C79">
              <w:rPr>
                <w:rFonts w:ascii="Arial" w:hAnsi="Arial" w:cs="Arial"/>
                <w:szCs w:val="20"/>
              </w:rPr>
              <w:t xml:space="preserve">Do you have any other comments on the draft </w:t>
            </w:r>
            <w:r>
              <w:rPr>
                <w:rFonts w:ascii="Arial" w:hAnsi="Arial" w:cs="Arial"/>
                <w:szCs w:val="20"/>
              </w:rPr>
              <w:t>guidelines</w:t>
            </w:r>
            <w:r w:rsidRPr="00DE4C79">
              <w:rPr>
                <w:rFonts w:ascii="Arial" w:hAnsi="Arial" w:cs="Arial"/>
                <w:szCs w:val="20"/>
              </w:rPr>
              <w:t>?</w:t>
            </w:r>
          </w:p>
        </w:tc>
      </w:tr>
      <w:tr w:rsidR="00EF74DA" w:rsidRPr="0093789E" w:rsidTr="00AA4E96">
        <w:tc>
          <w:tcPr>
            <w:tcW w:w="5000" w:type="pct"/>
          </w:tcPr>
          <w:p w:rsidR="00EF74DA" w:rsidRPr="0093789E" w:rsidRDefault="008B6538" w:rsidP="000B182C">
            <w:pPr>
              <w:pStyle w:val="TableText"/>
              <w:keepNext w:val="0"/>
              <w:spacing w:after="0"/>
              <w:jc w:val="both"/>
              <w:rPr>
                <w:rFonts w:ascii="Arial" w:hAnsi="Arial" w:cs="Arial"/>
                <w:color w:val="auto"/>
              </w:rPr>
            </w:pPr>
            <w:r>
              <w:rPr>
                <w:rFonts w:ascii="Arial" w:hAnsi="Arial" w:cs="Arial"/>
                <w:color w:val="auto"/>
              </w:rPr>
              <w:t xml:space="preserve">Animal Medicines Australia supports reference being made to the Australian Veterinary Association’s “Guidelines for the preparation and use of compounded pharmaceuticals” within the guideline. </w:t>
            </w:r>
          </w:p>
        </w:tc>
      </w:tr>
    </w:tbl>
    <w:p w:rsidR="00EF74DA" w:rsidRPr="00EF74DA" w:rsidRDefault="00EF74DA" w:rsidP="000B182C">
      <w:pPr>
        <w:pStyle w:val="TableText"/>
        <w:keepNext w:val="0"/>
        <w:jc w:val="both"/>
      </w:pPr>
    </w:p>
    <w:sectPr w:rsidR="00EF74DA" w:rsidRPr="00EF74DA" w:rsidSect="00AA4E96">
      <w:headerReference w:type="default" r:id="rId15"/>
      <w:footerReference w:type="default" r:id="rId16"/>
      <w:headerReference w:type="first" r:id="rId17"/>
      <w:footerReference w:type="first" r:id="rId18"/>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E96" w:rsidRDefault="00AA4E96" w:rsidP="00415029">
      <w:pPr>
        <w:spacing w:after="0" w:line="240" w:lineRule="auto"/>
      </w:pPr>
      <w:r>
        <w:separator/>
      </w:r>
    </w:p>
  </w:endnote>
  <w:endnote w:type="continuationSeparator" w:id="0">
    <w:p w:rsidR="00AA4E96" w:rsidRDefault="00AA4E96" w:rsidP="0041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6" w:rsidRDefault="00AA4E96" w:rsidP="00DE353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6" w:rsidRDefault="00AA4E96" w:rsidP="00424FED">
    <w:pPr>
      <w:pStyle w:val="Footer"/>
      <w:tabs>
        <w:tab w:val="clear" w:pos="4513"/>
      </w:tabs>
    </w:pPr>
    <w:r>
      <w:rPr>
        <w:noProof/>
        <w:lang w:eastAsia="en-AU"/>
      </w:rPr>
      <w:drawing>
        <wp:anchor distT="0" distB="0" distL="114300" distR="114300" simplePos="0" relativeHeight="251661312" behindDoc="1" locked="0" layoutInCell="1" allowOverlap="1">
          <wp:simplePos x="0" y="0"/>
          <wp:positionH relativeFrom="column">
            <wp:posOffset>-547692</wp:posOffset>
          </wp:positionH>
          <wp:positionV relativeFrom="paragraph">
            <wp:posOffset>-240665</wp:posOffset>
          </wp:positionV>
          <wp:extent cx="2306472" cy="800293"/>
          <wp:effectExtent l="0" t="0" r="0" b="0"/>
          <wp:wrapNone/>
          <wp:docPr id="9" name="Picture 9" descr="Footer_W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ang.jpg"/>
                  <pic:cNvPicPr/>
                </pic:nvPicPr>
                <pic:blipFill rotWithShape="1">
                  <a:blip r:embed="rId1"/>
                  <a:srcRect l="69494"/>
                  <a:stretch/>
                </pic:blipFill>
                <pic:spPr bwMode="auto">
                  <a:xfrm>
                    <a:off x="0" y="0"/>
                    <a:ext cx="2306472" cy="800293"/>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6" w:rsidRDefault="00AA4E96" w:rsidP="00DE353E">
    <w:pPr>
      <w:pStyle w:val="Footer"/>
      <w:jc w:val="right"/>
    </w:pPr>
    <w:r>
      <w:rPr>
        <w:noProof/>
        <w:lang w:eastAsia="en-AU"/>
      </w:rPr>
      <w:drawing>
        <wp:anchor distT="0" distB="0" distL="114300" distR="114300" simplePos="0" relativeHeight="251665408" behindDoc="1" locked="0" layoutInCell="1" allowOverlap="1">
          <wp:simplePos x="0" y="0"/>
          <wp:positionH relativeFrom="column">
            <wp:posOffset>-554517</wp:posOffset>
          </wp:positionH>
          <wp:positionV relativeFrom="paragraph">
            <wp:posOffset>-282575</wp:posOffset>
          </wp:positionV>
          <wp:extent cx="2281444" cy="797442"/>
          <wp:effectExtent l="0" t="0" r="5080" b="3175"/>
          <wp:wrapNone/>
          <wp:docPr id="4" name="Picture 4" descr="Footer_W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ang.jpg"/>
                  <pic:cNvPicPr/>
                </pic:nvPicPr>
                <pic:blipFill rotWithShape="1">
                  <a:blip r:embed="rId1"/>
                  <a:srcRect l="69718"/>
                  <a:stretch/>
                </pic:blipFill>
                <pic:spPr bwMode="auto">
                  <a:xfrm>
                    <a:off x="0" y="0"/>
                    <a:ext cx="2281444" cy="797442"/>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4"/>
        <w:szCs w:val="18"/>
      </w:rPr>
      <w:id w:val="4061524"/>
      <w:docPartObj>
        <w:docPartGallery w:val="Page Numbers (Top of Page)"/>
        <w:docPartUnique/>
      </w:docPartObj>
    </w:sdtPr>
    <w:sdtEndPr>
      <w:rPr>
        <w:sz w:val="18"/>
      </w:rPr>
    </w:sdtEndPr>
    <w:sdtContent>
      <w:p w:rsidR="00AA4E96" w:rsidRDefault="00AA4E96" w:rsidP="00AA4E96">
        <w:pPr>
          <w:pStyle w:val="Header"/>
          <w:tabs>
            <w:tab w:val="center" w:pos="4820"/>
            <w:tab w:val="right" w:pos="9072"/>
          </w:tabs>
          <w:rPr>
            <w:rFonts w:cs="Arial"/>
            <w:sz w:val="14"/>
            <w:szCs w:val="18"/>
          </w:rPr>
        </w:pPr>
      </w:p>
      <w:p w:rsidR="00AA4E96" w:rsidRPr="00780CE7" w:rsidRDefault="00AA4E96" w:rsidP="00AA4E96">
        <w:pPr>
          <w:pStyle w:val="Header"/>
          <w:tabs>
            <w:tab w:val="center" w:pos="3402"/>
            <w:tab w:val="right" w:pos="9072"/>
          </w:tabs>
          <w:rPr>
            <w:rFonts w:cs="Arial"/>
            <w:sz w:val="16"/>
            <w:szCs w:val="16"/>
          </w:rPr>
        </w:pPr>
      </w:p>
      <w:p w:rsidR="00AA4E96" w:rsidRDefault="00AA4E96" w:rsidP="00AA4E96">
        <w:pPr>
          <w:pStyle w:val="Footer"/>
          <w:jc w:val="right"/>
          <w:rPr>
            <w:rFonts w:cs="Arial"/>
            <w:sz w:val="18"/>
            <w:szCs w:val="18"/>
          </w:rPr>
        </w:pPr>
        <w:r w:rsidRPr="009D3653">
          <w:rPr>
            <w:rFonts w:cs="Arial"/>
            <w:sz w:val="18"/>
            <w:szCs w:val="18"/>
          </w:rPr>
          <w:t xml:space="preserve">Page </w:t>
        </w:r>
        <w:r w:rsidRPr="009D3653">
          <w:rPr>
            <w:rFonts w:cs="Arial"/>
            <w:sz w:val="18"/>
            <w:szCs w:val="18"/>
          </w:rPr>
          <w:fldChar w:fldCharType="begin"/>
        </w:r>
        <w:r w:rsidRPr="009D3653">
          <w:rPr>
            <w:rFonts w:cs="Arial"/>
            <w:sz w:val="18"/>
            <w:szCs w:val="18"/>
          </w:rPr>
          <w:instrText xml:space="preserve"> PAGE </w:instrText>
        </w:r>
        <w:r w:rsidRPr="009D3653">
          <w:rPr>
            <w:rFonts w:cs="Arial"/>
            <w:sz w:val="18"/>
            <w:szCs w:val="18"/>
          </w:rPr>
          <w:fldChar w:fldCharType="separate"/>
        </w:r>
        <w:r w:rsidR="000F477A">
          <w:rPr>
            <w:rFonts w:cs="Arial"/>
            <w:noProof/>
            <w:sz w:val="18"/>
            <w:szCs w:val="18"/>
          </w:rPr>
          <w:t>4</w:t>
        </w:r>
        <w:r w:rsidRPr="009D3653">
          <w:rPr>
            <w:rFonts w:cs="Arial"/>
            <w:sz w:val="18"/>
            <w:szCs w:val="18"/>
          </w:rPr>
          <w:fldChar w:fldCharType="end"/>
        </w:r>
        <w:r w:rsidRPr="009D3653">
          <w:rPr>
            <w:rFonts w:cs="Arial"/>
            <w:sz w:val="18"/>
            <w:szCs w:val="18"/>
          </w:rPr>
          <w:t xml:space="preserve"> of </w:t>
        </w:r>
        <w:r w:rsidRPr="009D3653">
          <w:rPr>
            <w:rFonts w:cs="Arial"/>
            <w:sz w:val="18"/>
            <w:szCs w:val="18"/>
          </w:rPr>
          <w:fldChar w:fldCharType="begin"/>
        </w:r>
        <w:r w:rsidRPr="009D3653">
          <w:rPr>
            <w:rFonts w:cs="Arial"/>
            <w:sz w:val="18"/>
            <w:szCs w:val="18"/>
          </w:rPr>
          <w:instrText xml:space="preserve"> NUMPAGES  </w:instrText>
        </w:r>
        <w:r w:rsidRPr="009D3653">
          <w:rPr>
            <w:rFonts w:cs="Arial"/>
            <w:sz w:val="18"/>
            <w:szCs w:val="18"/>
          </w:rPr>
          <w:fldChar w:fldCharType="separate"/>
        </w:r>
        <w:r w:rsidR="000F477A">
          <w:rPr>
            <w:rFonts w:cs="Arial"/>
            <w:noProof/>
            <w:sz w:val="18"/>
            <w:szCs w:val="18"/>
          </w:rPr>
          <w:t>4</w:t>
        </w:r>
        <w:r w:rsidRPr="009D3653">
          <w:rPr>
            <w:rFonts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6" w:rsidRPr="00E07D13" w:rsidRDefault="00AA4E96" w:rsidP="00AA4E96">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E96" w:rsidRDefault="00AA4E96" w:rsidP="00415029">
      <w:pPr>
        <w:spacing w:after="0" w:line="240" w:lineRule="auto"/>
      </w:pPr>
      <w:r>
        <w:separator/>
      </w:r>
    </w:p>
  </w:footnote>
  <w:footnote w:type="continuationSeparator" w:id="0">
    <w:p w:rsidR="00AA4E96" w:rsidRDefault="00AA4E96" w:rsidP="00415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6" w:rsidRDefault="00AA4E96">
    <w:pPr>
      <w:pStyle w:val="Header"/>
    </w:pPr>
    <w:r w:rsidRPr="00DF5137">
      <w:rPr>
        <w:noProof/>
        <w:lang w:eastAsia="en-AU"/>
      </w:rPr>
      <w:drawing>
        <wp:anchor distT="0" distB="0" distL="114300" distR="114300" simplePos="0" relativeHeight="251663360" behindDoc="1" locked="0" layoutInCell="1" allowOverlap="1">
          <wp:simplePos x="0" y="0"/>
          <wp:positionH relativeFrom="column">
            <wp:posOffset>-924632</wp:posOffset>
          </wp:positionH>
          <wp:positionV relativeFrom="paragraph">
            <wp:posOffset>-470080</wp:posOffset>
          </wp:positionV>
          <wp:extent cx="7553325" cy="3238500"/>
          <wp:effectExtent l="0" t="0" r="9525" b="0"/>
          <wp:wrapNone/>
          <wp:docPr id="3" name="Picture 3" descr="Generic Header_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Header_ƒ.jpg"/>
                  <pic:cNvPicPr/>
                </pic:nvPicPr>
                <pic:blipFill rotWithShape="1">
                  <a:blip r:embed="rId1"/>
                  <a:srcRect b="6140"/>
                  <a:stretch/>
                </pic:blipFill>
                <pic:spPr bwMode="auto">
                  <a:xfrm>
                    <a:off x="0" y="0"/>
                    <a:ext cx="7553325" cy="32385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6" w:rsidRDefault="000B182C">
    <w:pPr>
      <w:pStyle w:val="Header"/>
    </w:pPr>
    <w:r>
      <w:rPr>
        <w:noProof/>
        <w:lang w:val="en-US"/>
      </w:rPr>
      <w:t xml:space="preserve">   </w:t>
    </w:r>
    <w:r>
      <w:rPr>
        <w:noProof/>
        <w:lang w:eastAsia="en-AU"/>
      </w:rPr>
      <w:drawing>
        <wp:inline distT="0" distB="0" distL="0" distR="0">
          <wp:extent cx="6260980" cy="2501660"/>
          <wp:effectExtent l="19050" t="0" r="647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261581" cy="2501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6" w:rsidRDefault="00AA4E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6" w:rsidRDefault="00AA4E96" w:rsidP="00AA4E96">
    <w:pPr>
      <w:pStyle w:val="Header"/>
      <w:rPr>
        <w:rFonts w:cs="Arial"/>
        <w:szCs w:val="20"/>
      </w:rPr>
    </w:pPr>
  </w:p>
  <w:p w:rsidR="00AA4E96" w:rsidRDefault="00AA4E96" w:rsidP="00AA4E96">
    <w:pPr>
      <w:pStyle w:val="Header"/>
      <w:rPr>
        <w:rFonts w:cs="Arial"/>
        <w:szCs w:val="20"/>
      </w:rPr>
    </w:pPr>
  </w:p>
  <w:p w:rsidR="00AA4E96" w:rsidRPr="00B12E0A" w:rsidRDefault="00AA4E96" w:rsidP="00AA4E96">
    <w:pPr>
      <w:pStyle w:val="Header"/>
      <w:jc w:val="right"/>
      <w:rPr>
        <w:rFonts w:cs="Arial"/>
        <w:szCs w:val="20"/>
      </w:rPr>
    </w:pPr>
  </w:p>
  <w:p w:rsidR="00AA4E96" w:rsidRDefault="00AA4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4190"/>
    <w:multiLevelType w:val="hybridMultilevel"/>
    <w:tmpl w:val="EBFA6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B13AE"/>
    <w:multiLevelType w:val="hybridMultilevel"/>
    <w:tmpl w:val="B1C8D4CE"/>
    <w:lvl w:ilvl="0" w:tplc="EBBAE2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6F860F4"/>
    <w:multiLevelType w:val="hybridMultilevel"/>
    <w:tmpl w:val="A698A70E"/>
    <w:lvl w:ilvl="0" w:tplc="A6CEBA28">
      <w:start w:val="1"/>
      <w:numFmt w:val="upperLetter"/>
      <w:pStyle w:val="Heading2"/>
      <w:lvlText w:val="%1"/>
      <w:lvlJc w:val="left"/>
      <w:pPr>
        <w:ind w:left="1077" w:hanging="360"/>
      </w:pPr>
      <w:rPr>
        <w:rFonts w:ascii="Times New Roman" w:hAnsi="Times New Roman" w:hint="default"/>
        <w:b w:val="0"/>
        <w:i w:val="0"/>
        <w:sz w:val="24"/>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nsid w:val="1C523DC6"/>
    <w:multiLevelType w:val="hybridMultilevel"/>
    <w:tmpl w:val="2E54B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CF47406"/>
    <w:multiLevelType w:val="hybridMultilevel"/>
    <w:tmpl w:val="6C928698"/>
    <w:lvl w:ilvl="0" w:tplc="F294BE3E">
      <w:start w:val="1"/>
      <w:numFmt w:val="decimal"/>
      <w:lvlText w:val="%1  "/>
      <w:lvlJc w:val="left"/>
      <w:pPr>
        <w:ind w:left="36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6908D7"/>
    <w:multiLevelType w:val="hybridMultilevel"/>
    <w:tmpl w:val="999CA4F8"/>
    <w:lvl w:ilvl="0" w:tplc="8950438E">
      <w:start w:val="1"/>
      <w:numFmt w:val="decimal"/>
      <w:pStyle w:val="Heading3"/>
      <w:lvlText w:val="%1"/>
      <w:lvlJc w:val="lef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E0319C"/>
    <w:multiLevelType w:val="hybridMultilevel"/>
    <w:tmpl w:val="E692148E"/>
    <w:lvl w:ilvl="0" w:tplc="C3785DE2">
      <w:start w:val="1"/>
      <w:numFmt w:val="lowerRoman"/>
      <w:pStyle w:val="Heading5"/>
      <w:lvlText w:val="(%1)"/>
      <w:lvlJc w:val="left"/>
      <w:pPr>
        <w:ind w:left="720" w:hanging="360"/>
      </w:pPr>
      <w:rPr>
        <w:rFonts w:ascii="Times New Roman" w:hAnsi="Times New Roman" w:hint="default"/>
        <w:b w:val="0"/>
        <w:i/>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D228FE"/>
    <w:multiLevelType w:val="hybridMultilevel"/>
    <w:tmpl w:val="14705A38"/>
    <w:lvl w:ilvl="0" w:tplc="BD108B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EC289B"/>
    <w:multiLevelType w:val="hybridMultilevel"/>
    <w:tmpl w:val="F5EAB970"/>
    <w:lvl w:ilvl="0" w:tplc="D0C808A0">
      <w:start w:val="1"/>
      <w:numFmt w:val="upperRoman"/>
      <w:lvlText w:val="%1  "/>
      <w:lvlJc w:val="left"/>
      <w:pPr>
        <w:ind w:left="720" w:hanging="360"/>
      </w:pPr>
      <w:rPr>
        <w:rFonts w:ascii="Times New Roman" w:hAnsi="Times New Roman"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396420"/>
    <w:multiLevelType w:val="hybridMultilevel"/>
    <w:tmpl w:val="791A5B42"/>
    <w:lvl w:ilvl="0" w:tplc="37FC0650">
      <w:start w:val="3"/>
      <w:numFmt w:val="bullet"/>
      <w:lvlText w:val="-"/>
      <w:lvlJc w:val="left"/>
      <w:pPr>
        <w:ind w:left="720" w:hanging="360"/>
      </w:pPr>
      <w:rPr>
        <w:rFonts w:ascii="Arial" w:eastAsiaTheme="majorEastAsia"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473F54"/>
    <w:multiLevelType w:val="hybridMultilevel"/>
    <w:tmpl w:val="1C6810C6"/>
    <w:lvl w:ilvl="0" w:tplc="08E6B7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322F57"/>
    <w:multiLevelType w:val="hybridMultilevel"/>
    <w:tmpl w:val="49F8021E"/>
    <w:lvl w:ilvl="0" w:tplc="2146FB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B416EB"/>
    <w:multiLevelType w:val="hybridMultilevel"/>
    <w:tmpl w:val="D6482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A157FD"/>
    <w:multiLevelType w:val="hybridMultilevel"/>
    <w:tmpl w:val="347CF824"/>
    <w:lvl w:ilvl="0" w:tplc="E6303B20">
      <w:start w:val="1"/>
      <w:numFmt w:val="lowerLetter"/>
      <w:lvlText w:val="(%1)"/>
      <w:lvlJc w:val="left"/>
      <w:pPr>
        <w:ind w:left="360" w:hanging="360"/>
      </w:pPr>
      <w:rPr>
        <w:rFonts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7883E83"/>
    <w:multiLevelType w:val="hybridMultilevel"/>
    <w:tmpl w:val="C6C4D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E4D71C9"/>
    <w:multiLevelType w:val="hybridMultilevel"/>
    <w:tmpl w:val="86609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8AA004F"/>
    <w:multiLevelType w:val="hybridMultilevel"/>
    <w:tmpl w:val="E5AA2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99E13C1"/>
    <w:multiLevelType w:val="hybridMultilevel"/>
    <w:tmpl w:val="F9F4CC76"/>
    <w:lvl w:ilvl="0" w:tplc="721892F4">
      <w:start w:val="1"/>
      <w:numFmt w:val="upperRoman"/>
      <w:pStyle w:val="Heading1"/>
      <w:lvlText w:val="%1"/>
      <w:lvlJc w:val="left"/>
      <w:pPr>
        <w:ind w:left="720" w:hanging="360"/>
      </w:pPr>
      <w:rPr>
        <w:rFonts w:ascii="Times New Roman" w:hAnsi="Times New Roman"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5F4FFE"/>
    <w:multiLevelType w:val="hybridMultilevel"/>
    <w:tmpl w:val="06508CF6"/>
    <w:lvl w:ilvl="0" w:tplc="3E6E90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12B5973"/>
    <w:multiLevelType w:val="hybridMultilevel"/>
    <w:tmpl w:val="6DE8ED00"/>
    <w:lvl w:ilvl="0" w:tplc="17EC1D54">
      <w:start w:val="1"/>
      <w:numFmt w:val="decimal"/>
      <w:lvlText w:val="%1  "/>
      <w:lvlJc w:val="left"/>
      <w:pPr>
        <w:ind w:left="36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7B4C31"/>
    <w:multiLevelType w:val="hybridMultilevel"/>
    <w:tmpl w:val="4D14757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76322B56"/>
    <w:multiLevelType w:val="hybridMultilevel"/>
    <w:tmpl w:val="670CD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D37CB4"/>
    <w:multiLevelType w:val="hybridMultilevel"/>
    <w:tmpl w:val="D6B472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7DBF5762"/>
    <w:multiLevelType w:val="multilevel"/>
    <w:tmpl w:val="5CB03E2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7FD61514"/>
    <w:multiLevelType w:val="hybridMultilevel"/>
    <w:tmpl w:val="A2CE3CD2"/>
    <w:lvl w:ilvl="0" w:tplc="D4FA3880">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4"/>
  </w:num>
  <w:num w:numId="4">
    <w:abstractNumId w:val="19"/>
  </w:num>
  <w:num w:numId="5">
    <w:abstractNumId w:val="4"/>
  </w:num>
  <w:num w:numId="6">
    <w:abstractNumId w:val="2"/>
  </w:num>
  <w:num w:numId="7">
    <w:abstractNumId w:val="2"/>
  </w:num>
  <w:num w:numId="8">
    <w:abstractNumId w:val="4"/>
  </w:num>
  <w:num w:numId="9">
    <w:abstractNumId w:val="4"/>
  </w:num>
  <w:num w:numId="10">
    <w:abstractNumId w:val="4"/>
  </w:num>
  <w:num w:numId="11">
    <w:abstractNumId w:val="2"/>
  </w:num>
  <w:num w:numId="12">
    <w:abstractNumId w:val="24"/>
  </w:num>
  <w:num w:numId="13">
    <w:abstractNumId w:val="24"/>
  </w:num>
  <w:num w:numId="14">
    <w:abstractNumId w:val="5"/>
  </w:num>
  <w:num w:numId="15">
    <w:abstractNumId w:val="13"/>
  </w:num>
  <w:num w:numId="16">
    <w:abstractNumId w:val="5"/>
  </w:num>
  <w:num w:numId="17">
    <w:abstractNumId w:val="13"/>
  </w:num>
  <w:num w:numId="18">
    <w:abstractNumId w:val="17"/>
  </w:num>
  <w:num w:numId="19">
    <w:abstractNumId w:val="5"/>
  </w:num>
  <w:num w:numId="20">
    <w:abstractNumId w:val="6"/>
  </w:num>
  <w:num w:numId="21">
    <w:abstractNumId w:val="6"/>
  </w:num>
  <w:num w:numId="22">
    <w:abstractNumId w:val="5"/>
  </w:num>
  <w:num w:numId="23">
    <w:abstractNumId w:val="5"/>
  </w:num>
  <w:num w:numId="24">
    <w:abstractNumId w:val="5"/>
  </w:num>
  <w:num w:numId="25">
    <w:abstractNumId w:val="13"/>
  </w:num>
  <w:num w:numId="26">
    <w:abstractNumId w:val="17"/>
  </w:num>
  <w:num w:numId="27">
    <w:abstractNumId w:val="17"/>
  </w:num>
  <w:num w:numId="28">
    <w:abstractNumId w:val="17"/>
  </w:num>
  <w:num w:numId="29">
    <w:abstractNumId w:val="17"/>
  </w:num>
  <w:num w:numId="30">
    <w:abstractNumId w:val="12"/>
  </w:num>
  <w:num w:numId="31">
    <w:abstractNumId w:val="18"/>
  </w:num>
  <w:num w:numId="32">
    <w:abstractNumId w:val="10"/>
  </w:num>
  <w:num w:numId="33">
    <w:abstractNumId w:val="16"/>
  </w:num>
  <w:num w:numId="34">
    <w:abstractNumId w:val="14"/>
  </w:num>
  <w:num w:numId="35">
    <w:abstractNumId w:val="15"/>
  </w:num>
  <w:num w:numId="36">
    <w:abstractNumId w:val="3"/>
  </w:num>
  <w:num w:numId="37">
    <w:abstractNumId w:val="20"/>
  </w:num>
  <w:num w:numId="38">
    <w:abstractNumId w:val="9"/>
  </w:num>
  <w:num w:numId="39">
    <w:abstractNumId w:val="7"/>
  </w:num>
  <w:num w:numId="40">
    <w:abstractNumId w:val="0"/>
  </w:num>
  <w:num w:numId="41">
    <w:abstractNumId w:val="1"/>
  </w:num>
  <w:num w:numId="42">
    <w:abstractNumId w:val="21"/>
  </w:num>
  <w:num w:numId="43">
    <w:abstractNumId w:val="23"/>
  </w:num>
  <w:num w:numId="44">
    <w:abstractNumId w:val="1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802D8"/>
    <w:rsid w:val="0001560E"/>
    <w:rsid w:val="000172DB"/>
    <w:rsid w:val="000322E1"/>
    <w:rsid w:val="00047577"/>
    <w:rsid w:val="00055222"/>
    <w:rsid w:val="00064A00"/>
    <w:rsid w:val="00074C97"/>
    <w:rsid w:val="000B182C"/>
    <w:rsid w:val="000C210A"/>
    <w:rsid w:val="000D31FC"/>
    <w:rsid w:val="000E1AB6"/>
    <w:rsid w:val="000E328D"/>
    <w:rsid w:val="000F477A"/>
    <w:rsid w:val="000F4E13"/>
    <w:rsid w:val="000F4FA1"/>
    <w:rsid w:val="00115FC7"/>
    <w:rsid w:val="00125D17"/>
    <w:rsid w:val="00130EAC"/>
    <w:rsid w:val="001501FC"/>
    <w:rsid w:val="001550AB"/>
    <w:rsid w:val="00161A0C"/>
    <w:rsid w:val="001634DA"/>
    <w:rsid w:val="00167022"/>
    <w:rsid w:val="0017278E"/>
    <w:rsid w:val="00174045"/>
    <w:rsid w:val="0018301E"/>
    <w:rsid w:val="001878E7"/>
    <w:rsid w:val="00187A8B"/>
    <w:rsid w:val="001B4A0C"/>
    <w:rsid w:val="001D3DF7"/>
    <w:rsid w:val="001E051A"/>
    <w:rsid w:val="001E4F8D"/>
    <w:rsid w:val="001F0911"/>
    <w:rsid w:val="001F7B06"/>
    <w:rsid w:val="0020285B"/>
    <w:rsid w:val="002057BB"/>
    <w:rsid w:val="00213006"/>
    <w:rsid w:val="00220D58"/>
    <w:rsid w:val="0022715D"/>
    <w:rsid w:val="002426B7"/>
    <w:rsid w:val="00242AD9"/>
    <w:rsid w:val="00265F52"/>
    <w:rsid w:val="00287076"/>
    <w:rsid w:val="002B0862"/>
    <w:rsid w:val="002B3219"/>
    <w:rsid w:val="002B4B2D"/>
    <w:rsid w:val="002B6CA7"/>
    <w:rsid w:val="002D1CFE"/>
    <w:rsid w:val="002E38FA"/>
    <w:rsid w:val="002E6A90"/>
    <w:rsid w:val="002F612C"/>
    <w:rsid w:val="003014A2"/>
    <w:rsid w:val="003109BC"/>
    <w:rsid w:val="00334990"/>
    <w:rsid w:val="0033621F"/>
    <w:rsid w:val="003457A5"/>
    <w:rsid w:val="0035573C"/>
    <w:rsid w:val="00365A10"/>
    <w:rsid w:val="00370583"/>
    <w:rsid w:val="00373750"/>
    <w:rsid w:val="00376614"/>
    <w:rsid w:val="00387CAE"/>
    <w:rsid w:val="0039348B"/>
    <w:rsid w:val="00393A5A"/>
    <w:rsid w:val="003941EF"/>
    <w:rsid w:val="003A4AC4"/>
    <w:rsid w:val="003B3A84"/>
    <w:rsid w:val="003B3BAA"/>
    <w:rsid w:val="003B429F"/>
    <w:rsid w:val="00412D62"/>
    <w:rsid w:val="00412F8B"/>
    <w:rsid w:val="00415029"/>
    <w:rsid w:val="00424FED"/>
    <w:rsid w:val="00425A6F"/>
    <w:rsid w:val="00427ABA"/>
    <w:rsid w:val="00432A8F"/>
    <w:rsid w:val="00433A90"/>
    <w:rsid w:val="00437D8D"/>
    <w:rsid w:val="004439C0"/>
    <w:rsid w:val="00454564"/>
    <w:rsid w:val="00465543"/>
    <w:rsid w:val="00470BEE"/>
    <w:rsid w:val="00472B3B"/>
    <w:rsid w:val="00472E88"/>
    <w:rsid w:val="0047662B"/>
    <w:rsid w:val="00476D64"/>
    <w:rsid w:val="00495CCD"/>
    <w:rsid w:val="004A10C7"/>
    <w:rsid w:val="004B0ABF"/>
    <w:rsid w:val="004B4665"/>
    <w:rsid w:val="004C1FE1"/>
    <w:rsid w:val="004C26A7"/>
    <w:rsid w:val="004E08AA"/>
    <w:rsid w:val="004E4A0A"/>
    <w:rsid w:val="004E5666"/>
    <w:rsid w:val="00511F8B"/>
    <w:rsid w:val="00544A3B"/>
    <w:rsid w:val="005470B3"/>
    <w:rsid w:val="00552B4D"/>
    <w:rsid w:val="005573A2"/>
    <w:rsid w:val="00572C8F"/>
    <w:rsid w:val="00574501"/>
    <w:rsid w:val="00585161"/>
    <w:rsid w:val="005A6235"/>
    <w:rsid w:val="005B4881"/>
    <w:rsid w:val="005B6BA4"/>
    <w:rsid w:val="005B7F70"/>
    <w:rsid w:val="005C2E49"/>
    <w:rsid w:val="005C3521"/>
    <w:rsid w:val="005E3310"/>
    <w:rsid w:val="006114BF"/>
    <w:rsid w:val="006149F3"/>
    <w:rsid w:val="00626532"/>
    <w:rsid w:val="00632459"/>
    <w:rsid w:val="0063377D"/>
    <w:rsid w:val="006508EA"/>
    <w:rsid w:val="00675FE0"/>
    <w:rsid w:val="00692F74"/>
    <w:rsid w:val="0069322A"/>
    <w:rsid w:val="006A0522"/>
    <w:rsid w:val="006A14A8"/>
    <w:rsid w:val="006A7655"/>
    <w:rsid w:val="006B267D"/>
    <w:rsid w:val="006B2AB6"/>
    <w:rsid w:val="006D4EBE"/>
    <w:rsid w:val="006E64F6"/>
    <w:rsid w:val="00702EEF"/>
    <w:rsid w:val="007102AC"/>
    <w:rsid w:val="007222B3"/>
    <w:rsid w:val="007268E7"/>
    <w:rsid w:val="00727B16"/>
    <w:rsid w:val="007318E6"/>
    <w:rsid w:val="00763C9B"/>
    <w:rsid w:val="007809ED"/>
    <w:rsid w:val="0078192C"/>
    <w:rsid w:val="00782FA7"/>
    <w:rsid w:val="00783DB0"/>
    <w:rsid w:val="007B6365"/>
    <w:rsid w:val="007B737B"/>
    <w:rsid w:val="00801B58"/>
    <w:rsid w:val="008031DD"/>
    <w:rsid w:val="00803AB6"/>
    <w:rsid w:val="00804FC4"/>
    <w:rsid w:val="00823E43"/>
    <w:rsid w:val="00845601"/>
    <w:rsid w:val="00845714"/>
    <w:rsid w:val="00881E8D"/>
    <w:rsid w:val="008B6538"/>
    <w:rsid w:val="008B6F8E"/>
    <w:rsid w:val="008C23A1"/>
    <w:rsid w:val="008C241F"/>
    <w:rsid w:val="008D20CA"/>
    <w:rsid w:val="008D4752"/>
    <w:rsid w:val="008D5309"/>
    <w:rsid w:val="00900516"/>
    <w:rsid w:val="009066EA"/>
    <w:rsid w:val="009316DC"/>
    <w:rsid w:val="00933330"/>
    <w:rsid w:val="00942A5E"/>
    <w:rsid w:val="00943ACA"/>
    <w:rsid w:val="0095457C"/>
    <w:rsid w:val="009802D8"/>
    <w:rsid w:val="0099239C"/>
    <w:rsid w:val="009A035F"/>
    <w:rsid w:val="009A4CC7"/>
    <w:rsid w:val="00A04396"/>
    <w:rsid w:val="00A13B62"/>
    <w:rsid w:val="00A2596C"/>
    <w:rsid w:val="00A32822"/>
    <w:rsid w:val="00A35BB3"/>
    <w:rsid w:val="00A403AF"/>
    <w:rsid w:val="00A479A3"/>
    <w:rsid w:val="00A50186"/>
    <w:rsid w:val="00A84DE6"/>
    <w:rsid w:val="00A904F2"/>
    <w:rsid w:val="00A91B2E"/>
    <w:rsid w:val="00AA13FF"/>
    <w:rsid w:val="00AA4E96"/>
    <w:rsid w:val="00AB75D3"/>
    <w:rsid w:val="00AD7DBE"/>
    <w:rsid w:val="00AD7F73"/>
    <w:rsid w:val="00AE0D4D"/>
    <w:rsid w:val="00AE28B0"/>
    <w:rsid w:val="00AE40C2"/>
    <w:rsid w:val="00AF3A18"/>
    <w:rsid w:val="00B0366A"/>
    <w:rsid w:val="00B06325"/>
    <w:rsid w:val="00B06BF3"/>
    <w:rsid w:val="00B12B4F"/>
    <w:rsid w:val="00B172E6"/>
    <w:rsid w:val="00B17343"/>
    <w:rsid w:val="00B17F21"/>
    <w:rsid w:val="00B24208"/>
    <w:rsid w:val="00B24E4C"/>
    <w:rsid w:val="00B3165B"/>
    <w:rsid w:val="00B53437"/>
    <w:rsid w:val="00B645C1"/>
    <w:rsid w:val="00B64A57"/>
    <w:rsid w:val="00B93565"/>
    <w:rsid w:val="00BA1187"/>
    <w:rsid w:val="00BB6296"/>
    <w:rsid w:val="00BC2D06"/>
    <w:rsid w:val="00BD47B6"/>
    <w:rsid w:val="00C019EC"/>
    <w:rsid w:val="00C10EEE"/>
    <w:rsid w:val="00C14D89"/>
    <w:rsid w:val="00C16364"/>
    <w:rsid w:val="00C31E75"/>
    <w:rsid w:val="00C40F3B"/>
    <w:rsid w:val="00C41C34"/>
    <w:rsid w:val="00C447B1"/>
    <w:rsid w:val="00C571AE"/>
    <w:rsid w:val="00C67C46"/>
    <w:rsid w:val="00C728C0"/>
    <w:rsid w:val="00C8175A"/>
    <w:rsid w:val="00C8411C"/>
    <w:rsid w:val="00C84A3E"/>
    <w:rsid w:val="00C87EF2"/>
    <w:rsid w:val="00CA024A"/>
    <w:rsid w:val="00CB2FCB"/>
    <w:rsid w:val="00CC7FBF"/>
    <w:rsid w:val="00CD4F18"/>
    <w:rsid w:val="00CF2CE8"/>
    <w:rsid w:val="00D170B0"/>
    <w:rsid w:val="00D330C5"/>
    <w:rsid w:val="00D349D4"/>
    <w:rsid w:val="00D419F3"/>
    <w:rsid w:val="00D44D01"/>
    <w:rsid w:val="00D47CCC"/>
    <w:rsid w:val="00D51B0C"/>
    <w:rsid w:val="00D57BA7"/>
    <w:rsid w:val="00D63669"/>
    <w:rsid w:val="00D76158"/>
    <w:rsid w:val="00DB4190"/>
    <w:rsid w:val="00DB55CD"/>
    <w:rsid w:val="00DC2362"/>
    <w:rsid w:val="00DC74AB"/>
    <w:rsid w:val="00DE353E"/>
    <w:rsid w:val="00DE4DA7"/>
    <w:rsid w:val="00DF20A2"/>
    <w:rsid w:val="00DF21EE"/>
    <w:rsid w:val="00E31D27"/>
    <w:rsid w:val="00E3559F"/>
    <w:rsid w:val="00E361CD"/>
    <w:rsid w:val="00E3622C"/>
    <w:rsid w:val="00E57C0E"/>
    <w:rsid w:val="00E6605F"/>
    <w:rsid w:val="00E74E9C"/>
    <w:rsid w:val="00E76E2B"/>
    <w:rsid w:val="00E8722A"/>
    <w:rsid w:val="00ED1940"/>
    <w:rsid w:val="00ED3EDD"/>
    <w:rsid w:val="00EF0AF7"/>
    <w:rsid w:val="00EF1492"/>
    <w:rsid w:val="00EF340C"/>
    <w:rsid w:val="00EF439F"/>
    <w:rsid w:val="00EF4AAF"/>
    <w:rsid w:val="00EF74DA"/>
    <w:rsid w:val="00F17DB7"/>
    <w:rsid w:val="00F40B94"/>
    <w:rsid w:val="00F526FD"/>
    <w:rsid w:val="00F54D7A"/>
    <w:rsid w:val="00F5637A"/>
    <w:rsid w:val="00F64B60"/>
    <w:rsid w:val="00F6619D"/>
    <w:rsid w:val="00F73739"/>
    <w:rsid w:val="00F83277"/>
    <w:rsid w:val="00F835BF"/>
    <w:rsid w:val="00F960D4"/>
    <w:rsid w:val="00F96A0B"/>
    <w:rsid w:val="00FC139C"/>
    <w:rsid w:val="00FD4979"/>
    <w:rsid w:val="00FD76FE"/>
    <w:rsid w:val="00FD7C86"/>
    <w:rsid w:val="00FE5A28"/>
    <w:rsid w:val="00F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8870BA8-BEFF-4B8B-A4DA-3D2E91A0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4DA"/>
    <w:pPr>
      <w:spacing w:after="120"/>
      <w:jc w:val="both"/>
    </w:pPr>
    <w:rPr>
      <w:rFonts w:ascii="Arial" w:hAnsi="Arial"/>
      <w:sz w:val="20"/>
    </w:rPr>
  </w:style>
  <w:style w:type="paragraph" w:styleId="Heading1">
    <w:name w:val="heading 1"/>
    <w:aliases w:val="AGLC Heading 1"/>
    <w:next w:val="Normal"/>
    <w:link w:val="Heading1Char"/>
    <w:autoRedefine/>
    <w:uiPriority w:val="9"/>
    <w:qFormat/>
    <w:rsid w:val="00376614"/>
    <w:pPr>
      <w:numPr>
        <w:numId w:val="18"/>
      </w:numPr>
      <w:spacing w:before="120" w:after="240"/>
      <w:ind w:left="714" w:hanging="357"/>
      <w:jc w:val="center"/>
      <w:outlineLvl w:val="0"/>
    </w:pPr>
    <w:rPr>
      <w:smallCaps/>
      <w:sz w:val="28"/>
    </w:rPr>
  </w:style>
  <w:style w:type="paragraph" w:styleId="Heading2">
    <w:name w:val="heading 2"/>
    <w:next w:val="Normal"/>
    <w:link w:val="Heading2Char"/>
    <w:autoRedefine/>
    <w:uiPriority w:val="9"/>
    <w:unhideWhenUsed/>
    <w:qFormat/>
    <w:rsid w:val="0099239C"/>
    <w:pPr>
      <w:numPr>
        <w:numId w:val="6"/>
      </w:numPr>
      <w:spacing w:before="240"/>
      <w:ind w:left="924" w:hanging="357"/>
      <w:jc w:val="center"/>
      <w:outlineLvl w:val="1"/>
    </w:pPr>
    <w:rPr>
      <w:i/>
    </w:rPr>
  </w:style>
  <w:style w:type="paragraph" w:styleId="Heading3">
    <w:name w:val="heading 3"/>
    <w:next w:val="Normal"/>
    <w:link w:val="Heading3Char"/>
    <w:autoRedefine/>
    <w:uiPriority w:val="9"/>
    <w:unhideWhenUsed/>
    <w:qFormat/>
    <w:rsid w:val="002E38FA"/>
    <w:pPr>
      <w:keepNext/>
      <w:numPr>
        <w:numId w:val="16"/>
      </w:numPr>
      <w:ind w:left="397" w:hanging="397"/>
      <w:outlineLvl w:val="2"/>
    </w:pPr>
    <w:rPr>
      <w:i/>
    </w:rPr>
  </w:style>
  <w:style w:type="paragraph" w:styleId="Heading4">
    <w:name w:val="heading 4"/>
    <w:basedOn w:val="Normal"/>
    <w:next w:val="Normal"/>
    <w:link w:val="Heading4Char"/>
    <w:uiPriority w:val="9"/>
    <w:unhideWhenUsed/>
    <w:qFormat/>
    <w:rsid w:val="005C2E49"/>
    <w:pPr>
      <w:spacing w:before="480" w:after="200"/>
      <w:jc w:val="left"/>
      <w:outlineLvl w:val="3"/>
    </w:pPr>
    <w:rPr>
      <w:rFonts w:cs="Times New Roman"/>
      <w:i/>
    </w:rPr>
  </w:style>
  <w:style w:type="paragraph" w:styleId="Heading5">
    <w:name w:val="heading 5"/>
    <w:next w:val="Normal"/>
    <w:link w:val="Heading5Char"/>
    <w:autoRedefine/>
    <w:uiPriority w:val="9"/>
    <w:unhideWhenUsed/>
    <w:qFormat/>
    <w:rsid w:val="00E361CD"/>
    <w:pPr>
      <w:keepNext/>
      <w:keepLines/>
      <w:numPr>
        <w:numId w:val="20"/>
      </w:numPr>
      <w:spacing w:before="200" w:after="120"/>
      <w:ind w:left="510" w:hanging="51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LC Heading 1 Char"/>
    <w:basedOn w:val="DefaultParagraphFont"/>
    <w:link w:val="Heading1"/>
    <w:uiPriority w:val="9"/>
    <w:rsid w:val="00376614"/>
    <w:rPr>
      <w:smallCaps/>
      <w:sz w:val="28"/>
    </w:rPr>
  </w:style>
  <w:style w:type="character" w:customStyle="1" w:styleId="Heading2Char">
    <w:name w:val="Heading 2 Char"/>
    <w:basedOn w:val="DefaultParagraphFont"/>
    <w:link w:val="Heading2"/>
    <w:uiPriority w:val="9"/>
    <w:rsid w:val="0099239C"/>
    <w:rPr>
      <w:rFonts w:ascii="Times New Roman" w:hAnsi="Times New Roman"/>
      <w:i/>
      <w:sz w:val="24"/>
    </w:rPr>
  </w:style>
  <w:style w:type="character" w:customStyle="1" w:styleId="Heading3Char">
    <w:name w:val="Heading 3 Char"/>
    <w:basedOn w:val="DefaultParagraphFont"/>
    <w:link w:val="Heading3"/>
    <w:uiPriority w:val="9"/>
    <w:rsid w:val="002E38FA"/>
    <w:rPr>
      <w:i/>
    </w:rPr>
  </w:style>
  <w:style w:type="paragraph" w:customStyle="1" w:styleId="Style1">
    <w:name w:val="Style1"/>
    <w:next w:val="Normal"/>
    <w:qFormat/>
    <w:rsid w:val="00585161"/>
    <w:pPr>
      <w:tabs>
        <w:tab w:val="left" w:pos="1230"/>
      </w:tabs>
      <w:spacing w:before="120" w:after="120" w:line="240" w:lineRule="auto"/>
      <w:ind w:left="567"/>
      <w:jc w:val="both"/>
    </w:pPr>
    <w:rPr>
      <w:rFonts w:eastAsiaTheme="minorEastAsia"/>
      <w:lang w:eastAsia="zh-CN"/>
    </w:rPr>
  </w:style>
  <w:style w:type="paragraph" w:styleId="Quote">
    <w:name w:val="Quote"/>
    <w:next w:val="Normal"/>
    <w:link w:val="QuoteChar"/>
    <w:autoRedefine/>
    <w:uiPriority w:val="29"/>
    <w:qFormat/>
    <w:rsid w:val="005B7F70"/>
    <w:pPr>
      <w:spacing w:line="240" w:lineRule="auto"/>
      <w:ind w:left="567"/>
      <w:jc w:val="both"/>
    </w:pPr>
    <w:rPr>
      <w:rFonts w:eastAsiaTheme="minorEastAsia"/>
      <w:iCs/>
      <w:color w:val="000000" w:themeColor="text1"/>
      <w:sz w:val="22"/>
      <w:lang w:eastAsia="zh-CN"/>
    </w:rPr>
  </w:style>
  <w:style w:type="character" w:customStyle="1" w:styleId="QuoteChar">
    <w:name w:val="Quote Char"/>
    <w:basedOn w:val="DefaultParagraphFont"/>
    <w:link w:val="Quote"/>
    <w:uiPriority w:val="29"/>
    <w:rsid w:val="005B7F70"/>
    <w:rPr>
      <w:rFonts w:eastAsiaTheme="minorEastAsia"/>
      <w:iCs/>
      <w:color w:val="000000" w:themeColor="text1"/>
      <w:sz w:val="22"/>
      <w:lang w:eastAsia="zh-CN"/>
    </w:rPr>
  </w:style>
  <w:style w:type="character" w:customStyle="1" w:styleId="Heading4Char">
    <w:name w:val="Heading 4 Char"/>
    <w:basedOn w:val="DefaultParagraphFont"/>
    <w:link w:val="Heading4"/>
    <w:uiPriority w:val="9"/>
    <w:rsid w:val="005C2E49"/>
    <w:rPr>
      <w:rFonts w:cs="Times New Roman"/>
      <w:i/>
    </w:rPr>
  </w:style>
  <w:style w:type="character" w:customStyle="1" w:styleId="Heading5Char">
    <w:name w:val="Heading 5 Char"/>
    <w:basedOn w:val="DefaultParagraphFont"/>
    <w:link w:val="Heading5"/>
    <w:uiPriority w:val="9"/>
    <w:rsid w:val="00E361CD"/>
    <w:rPr>
      <w:rFonts w:eastAsiaTheme="majorEastAsia" w:cstheme="majorBidi"/>
      <w:i/>
    </w:rPr>
  </w:style>
  <w:style w:type="paragraph" w:styleId="FootnoteText">
    <w:name w:val="footnote text"/>
    <w:link w:val="FootnoteTextChar"/>
    <w:uiPriority w:val="99"/>
    <w:qFormat/>
    <w:rsid w:val="00074C97"/>
    <w:pPr>
      <w:spacing w:after="0" w:line="240" w:lineRule="auto"/>
    </w:pPr>
    <w:rPr>
      <w:sz w:val="20"/>
      <w:szCs w:val="20"/>
    </w:rPr>
  </w:style>
  <w:style w:type="character" w:customStyle="1" w:styleId="FootnoteTextChar">
    <w:name w:val="Footnote Text Char"/>
    <w:basedOn w:val="DefaultParagraphFont"/>
    <w:link w:val="FootnoteText"/>
    <w:uiPriority w:val="99"/>
    <w:rsid w:val="00074C97"/>
    <w:rPr>
      <w:sz w:val="20"/>
      <w:szCs w:val="20"/>
    </w:rPr>
  </w:style>
  <w:style w:type="paragraph" w:customStyle="1" w:styleId="ReportHeading1">
    <w:name w:val="Report Heading 1"/>
    <w:next w:val="Normal"/>
    <w:qFormat/>
    <w:rsid w:val="00D330C5"/>
    <w:pPr>
      <w:spacing w:before="360" w:line="240" w:lineRule="auto"/>
    </w:pPr>
    <w:rPr>
      <w:b/>
      <w:caps/>
      <w:sz w:val="28"/>
    </w:rPr>
  </w:style>
  <w:style w:type="paragraph" w:styleId="ListParagraph">
    <w:name w:val="List Paragraph"/>
    <w:basedOn w:val="Normal"/>
    <w:uiPriority w:val="34"/>
    <w:qFormat/>
    <w:rsid w:val="00D330C5"/>
    <w:pPr>
      <w:spacing w:after="200"/>
      <w:ind w:left="720"/>
    </w:pPr>
  </w:style>
  <w:style w:type="paragraph" w:customStyle="1" w:styleId="ReportHeading2">
    <w:name w:val="Report Heading 2"/>
    <w:next w:val="Normal"/>
    <w:qFormat/>
    <w:rsid w:val="00D330C5"/>
    <w:pPr>
      <w:ind w:left="360"/>
    </w:pPr>
    <w:rPr>
      <w:b/>
    </w:rPr>
  </w:style>
  <w:style w:type="character" w:customStyle="1" w:styleId="apple-converted-space">
    <w:name w:val="apple-converted-space"/>
    <w:basedOn w:val="DefaultParagraphFont"/>
    <w:rsid w:val="009802D8"/>
  </w:style>
  <w:style w:type="paragraph" w:styleId="Header">
    <w:name w:val="header"/>
    <w:basedOn w:val="Normal"/>
    <w:link w:val="HeaderChar"/>
    <w:uiPriority w:val="99"/>
    <w:unhideWhenUsed/>
    <w:rsid w:val="0041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29"/>
  </w:style>
  <w:style w:type="paragraph" w:styleId="Footer">
    <w:name w:val="footer"/>
    <w:basedOn w:val="Normal"/>
    <w:link w:val="FooterChar"/>
    <w:uiPriority w:val="99"/>
    <w:unhideWhenUsed/>
    <w:rsid w:val="0041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29"/>
  </w:style>
  <w:style w:type="character" w:styleId="FootnoteReference">
    <w:name w:val="footnote reference"/>
    <w:basedOn w:val="DefaultParagraphFont"/>
    <w:uiPriority w:val="99"/>
    <w:unhideWhenUsed/>
    <w:rsid w:val="003B3A84"/>
    <w:rPr>
      <w:vertAlign w:val="superscript"/>
    </w:rPr>
  </w:style>
  <w:style w:type="paragraph" w:styleId="BalloonText">
    <w:name w:val="Balloon Text"/>
    <w:basedOn w:val="Normal"/>
    <w:link w:val="BalloonTextChar"/>
    <w:uiPriority w:val="99"/>
    <w:semiHidden/>
    <w:unhideWhenUsed/>
    <w:rsid w:val="008D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09"/>
    <w:rPr>
      <w:rFonts w:ascii="Tahoma" w:hAnsi="Tahoma" w:cs="Tahoma"/>
      <w:sz w:val="16"/>
      <w:szCs w:val="16"/>
    </w:rPr>
  </w:style>
  <w:style w:type="character" w:styleId="CommentReference">
    <w:name w:val="annotation reference"/>
    <w:basedOn w:val="DefaultParagraphFont"/>
    <w:uiPriority w:val="99"/>
    <w:semiHidden/>
    <w:unhideWhenUsed/>
    <w:rsid w:val="008D5309"/>
    <w:rPr>
      <w:sz w:val="16"/>
      <w:szCs w:val="16"/>
    </w:rPr>
  </w:style>
  <w:style w:type="paragraph" w:styleId="CommentText">
    <w:name w:val="annotation text"/>
    <w:basedOn w:val="Normal"/>
    <w:link w:val="CommentTextChar"/>
    <w:uiPriority w:val="99"/>
    <w:semiHidden/>
    <w:unhideWhenUsed/>
    <w:rsid w:val="008D5309"/>
    <w:pPr>
      <w:spacing w:line="240" w:lineRule="auto"/>
    </w:pPr>
    <w:rPr>
      <w:szCs w:val="20"/>
    </w:rPr>
  </w:style>
  <w:style w:type="character" w:customStyle="1" w:styleId="CommentTextChar">
    <w:name w:val="Comment Text Char"/>
    <w:basedOn w:val="DefaultParagraphFont"/>
    <w:link w:val="CommentText"/>
    <w:uiPriority w:val="99"/>
    <w:semiHidden/>
    <w:rsid w:val="008D5309"/>
    <w:rPr>
      <w:sz w:val="20"/>
      <w:szCs w:val="20"/>
    </w:rPr>
  </w:style>
  <w:style w:type="paragraph" w:styleId="CommentSubject">
    <w:name w:val="annotation subject"/>
    <w:basedOn w:val="CommentText"/>
    <w:next w:val="CommentText"/>
    <w:link w:val="CommentSubjectChar"/>
    <w:uiPriority w:val="99"/>
    <w:semiHidden/>
    <w:unhideWhenUsed/>
    <w:rsid w:val="008D5309"/>
    <w:rPr>
      <w:b/>
      <w:bCs/>
    </w:rPr>
  </w:style>
  <w:style w:type="character" w:customStyle="1" w:styleId="CommentSubjectChar">
    <w:name w:val="Comment Subject Char"/>
    <w:basedOn w:val="CommentTextChar"/>
    <w:link w:val="CommentSubject"/>
    <w:uiPriority w:val="99"/>
    <w:semiHidden/>
    <w:rsid w:val="008D5309"/>
    <w:rPr>
      <w:b/>
      <w:bCs/>
      <w:sz w:val="20"/>
      <w:szCs w:val="20"/>
    </w:rPr>
  </w:style>
  <w:style w:type="character" w:styleId="Hyperlink">
    <w:name w:val="Hyperlink"/>
    <w:basedOn w:val="DefaultParagraphFont"/>
    <w:uiPriority w:val="99"/>
    <w:unhideWhenUsed/>
    <w:rsid w:val="007B6365"/>
    <w:rPr>
      <w:color w:val="0000FF"/>
      <w:u w:val="single"/>
    </w:rPr>
  </w:style>
  <w:style w:type="table" w:styleId="TableGrid">
    <w:name w:val="Table Grid"/>
    <w:basedOn w:val="TableNormal"/>
    <w:rsid w:val="00C10EEE"/>
    <w:pPr>
      <w:spacing w:after="0" w:line="240" w:lineRule="auto"/>
    </w:pPr>
    <w:rPr>
      <w:rFonts w:asciiTheme="minorHAnsi" w:eastAsia="Times New Roman"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0911"/>
    <w:pPr>
      <w:spacing w:after="0" w:line="240" w:lineRule="auto"/>
    </w:pPr>
  </w:style>
  <w:style w:type="paragraph" w:customStyle="1" w:styleId="TableText">
    <w:name w:val="TableText"/>
    <w:basedOn w:val="Normal"/>
    <w:rsid w:val="00EF74DA"/>
    <w:pPr>
      <w:keepNext/>
      <w:spacing w:before="120" w:line="240" w:lineRule="auto"/>
      <w:jc w:val="left"/>
    </w:pPr>
    <w:rPr>
      <w:rFonts w:ascii="Helvetica Narrow" w:eastAsia="Calibri" w:hAnsi="Helvetica Narrow" w:cs="Times New Roman"/>
      <w:color w:val="000000"/>
    </w:rPr>
  </w:style>
  <w:style w:type="paragraph" w:customStyle="1" w:styleId="AHPRASubhead">
    <w:name w:val="AHPRA Subhead"/>
    <w:basedOn w:val="Normal"/>
    <w:qFormat/>
    <w:rsid w:val="00EF74DA"/>
    <w:pPr>
      <w:spacing w:after="200" w:line="240" w:lineRule="auto"/>
      <w:jc w:val="left"/>
    </w:pPr>
    <w:rPr>
      <w:rFonts w:eastAsia="Times New Roman" w:cs="Times New Roman"/>
      <w:b/>
      <w:color w:val="008EC4"/>
      <w:lang w:val="en-US"/>
    </w:rPr>
  </w:style>
  <w:style w:type="paragraph" w:customStyle="1" w:styleId="AHPRADocumentsubheading">
    <w:name w:val="AHPRA Document subheading"/>
    <w:basedOn w:val="Normal"/>
    <w:next w:val="Normal"/>
    <w:uiPriority w:val="99"/>
    <w:qFormat/>
    <w:rsid w:val="00EF74DA"/>
    <w:pPr>
      <w:spacing w:after="200" w:line="240" w:lineRule="auto"/>
      <w:jc w:val="left"/>
      <w:outlineLvl w:val="0"/>
    </w:pPr>
    <w:rPr>
      <w:rFonts w:eastAsia="Cambria" w:cs="Arial"/>
      <w:color w:val="808080"/>
      <w:sz w:val="28"/>
      <w:szCs w:val="52"/>
      <w:lang w:val="en-US"/>
    </w:rPr>
  </w:style>
  <w:style w:type="paragraph" w:customStyle="1" w:styleId="AHPRAfooter">
    <w:name w:val="AHPRA footer"/>
    <w:basedOn w:val="FootnoteText"/>
    <w:rsid w:val="00EF74DA"/>
    <w:rPr>
      <w:rFonts w:ascii="Calibri" w:eastAsia="Times New Roman" w:hAnsi="Calibri" w:cs="Times New Roman"/>
    </w:rPr>
  </w:style>
  <w:style w:type="paragraph" w:customStyle="1" w:styleId="AHPRAfirstpagefooter">
    <w:name w:val="AHPRA first page footer"/>
    <w:basedOn w:val="AHPRAfooter"/>
    <w:rsid w:val="00EF74DA"/>
    <w:pPr>
      <w:jc w:val="center"/>
    </w:pPr>
    <w:rPr>
      <w:rFonts w:ascii="Arial" w:eastAsia="Cambria" w:hAnsi="Arial" w:cs="Arial"/>
      <w:b/>
      <w:color w:val="5F6062"/>
      <w:sz w:val="18"/>
    </w:rPr>
  </w:style>
  <w:style w:type="character" w:customStyle="1" w:styleId="AHPRAbodyChar">
    <w:name w:val="AHPRA body Char"/>
    <w:basedOn w:val="DefaultParagraphFont"/>
    <w:link w:val="AHPRAbody"/>
    <w:locked/>
    <w:rsid w:val="00EF74DA"/>
    <w:rPr>
      <w:rFonts w:ascii="Cambria" w:eastAsia="Cambria" w:hAnsi="Cambria"/>
    </w:rPr>
  </w:style>
  <w:style w:type="paragraph" w:customStyle="1" w:styleId="AHPRAbody">
    <w:name w:val="AHPRA body"/>
    <w:basedOn w:val="Normal"/>
    <w:link w:val="AHPRAbodyChar"/>
    <w:qFormat/>
    <w:rsid w:val="00EF74DA"/>
    <w:pPr>
      <w:spacing w:after="200" w:line="240" w:lineRule="auto"/>
      <w:jc w:val="left"/>
    </w:pPr>
    <w:rPr>
      <w:rFonts w:ascii="Cambria" w:eastAsia="Cambria" w:hAnsi="Cambria"/>
      <w:sz w:val="24"/>
    </w:rPr>
  </w:style>
  <w:style w:type="paragraph" w:customStyle="1" w:styleId="Default">
    <w:name w:val="Default"/>
    <w:rsid w:val="00AA4E96"/>
    <w:pPr>
      <w:autoSpaceDE w:val="0"/>
      <w:autoSpaceDN w:val="0"/>
      <w:adjustRightInd w:val="0"/>
      <w:spacing w:after="0" w:line="240" w:lineRule="auto"/>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5826">
      <w:bodyDiv w:val="1"/>
      <w:marLeft w:val="0"/>
      <w:marRight w:val="0"/>
      <w:marTop w:val="0"/>
      <w:marBottom w:val="0"/>
      <w:divBdr>
        <w:top w:val="none" w:sz="0" w:space="0" w:color="auto"/>
        <w:left w:val="none" w:sz="0" w:space="0" w:color="auto"/>
        <w:bottom w:val="none" w:sz="0" w:space="0" w:color="auto"/>
        <w:right w:val="none" w:sz="0" w:space="0" w:color="auto"/>
      </w:divBdr>
    </w:div>
    <w:div w:id="14863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5526-6263-4D33-8C8F-00E88BBD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Guidelines on compounding of medicines</dc:title>
  <dc:subject>Submission</dc:subject>
  <dc:creator>Michael Wright</dc:creator>
  <cp:keywords>Animal Medicines Australia</cp:keywords>
  <cp:lastModifiedBy>Tara Johnson</cp:lastModifiedBy>
  <cp:revision>2</cp:revision>
  <cp:lastPrinted>2014-04-11T07:13:00Z</cp:lastPrinted>
  <dcterms:created xsi:type="dcterms:W3CDTF">2015-03-09T23:16:00Z</dcterms:created>
  <dcterms:modified xsi:type="dcterms:W3CDTF">2015-03-09T23:16:00Z</dcterms:modified>
</cp:coreProperties>
</file>