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1D" w:rsidRDefault="0001597E" w:rsidP="00D32B0F">
      <w:pPr>
        <w:jc w:val="both"/>
        <w:rPr>
          <w:rFonts w:ascii="Arial" w:hAnsi="Arial" w:cs="Arial"/>
          <w:sz w:val="24"/>
          <w:szCs w:val="24"/>
        </w:rPr>
      </w:pPr>
      <w:r>
        <w:rPr>
          <w:rFonts w:ascii="Arial" w:hAnsi="Arial" w:cs="Arial"/>
          <w:sz w:val="24"/>
          <w:szCs w:val="24"/>
        </w:rPr>
        <w:t>Public Consultation</w:t>
      </w:r>
    </w:p>
    <w:p w:rsidR="0001597E" w:rsidRDefault="0001597E" w:rsidP="00D32B0F">
      <w:pPr>
        <w:jc w:val="both"/>
        <w:rPr>
          <w:rFonts w:ascii="Arial" w:hAnsi="Arial" w:cs="Arial"/>
          <w:sz w:val="24"/>
          <w:szCs w:val="24"/>
        </w:rPr>
      </w:pPr>
      <w:r>
        <w:rPr>
          <w:rFonts w:ascii="Arial" w:hAnsi="Arial" w:cs="Arial"/>
          <w:sz w:val="24"/>
          <w:szCs w:val="24"/>
        </w:rPr>
        <w:t xml:space="preserve">Document: Draft </w:t>
      </w:r>
      <w:r>
        <w:rPr>
          <w:rFonts w:ascii="Arial" w:hAnsi="Arial" w:cs="Arial"/>
          <w:i/>
          <w:sz w:val="24"/>
          <w:szCs w:val="24"/>
        </w:rPr>
        <w:t>Guidelines on compounding of medicines</w:t>
      </w:r>
      <w:r w:rsidR="007D3D40">
        <w:rPr>
          <w:rFonts w:ascii="Arial" w:hAnsi="Arial" w:cs="Arial"/>
          <w:i/>
          <w:sz w:val="24"/>
          <w:szCs w:val="24"/>
        </w:rPr>
        <w:t>, April 2014</w:t>
      </w:r>
      <w:bookmarkStart w:id="0" w:name="_GoBack"/>
      <w:bookmarkEnd w:id="0"/>
    </w:p>
    <w:p w:rsidR="0001597E" w:rsidRDefault="0001597E" w:rsidP="00D32B0F">
      <w:pPr>
        <w:jc w:val="both"/>
        <w:rPr>
          <w:rFonts w:ascii="Arial" w:hAnsi="Arial" w:cs="Arial"/>
          <w:sz w:val="24"/>
          <w:szCs w:val="24"/>
        </w:rPr>
      </w:pPr>
      <w:r>
        <w:rPr>
          <w:rFonts w:ascii="Arial" w:hAnsi="Arial" w:cs="Arial"/>
          <w:sz w:val="24"/>
          <w:szCs w:val="24"/>
        </w:rPr>
        <w:t>Date: 30 June 2014</w:t>
      </w:r>
    </w:p>
    <w:p w:rsidR="0001597E" w:rsidRDefault="0001597E" w:rsidP="00D32B0F">
      <w:pPr>
        <w:jc w:val="both"/>
        <w:rPr>
          <w:rFonts w:ascii="Arial" w:hAnsi="Arial" w:cs="Arial"/>
          <w:sz w:val="24"/>
          <w:szCs w:val="24"/>
        </w:rPr>
      </w:pPr>
      <w:r>
        <w:rPr>
          <w:rFonts w:ascii="Arial" w:hAnsi="Arial" w:cs="Arial"/>
          <w:sz w:val="24"/>
          <w:szCs w:val="24"/>
        </w:rPr>
        <w:t xml:space="preserve">The draft guidelines are helpful, easy to read and offer pharmacists a guide to the requirements necessary. </w:t>
      </w:r>
      <w:r w:rsidR="00D32B0F">
        <w:rPr>
          <w:rFonts w:ascii="Arial" w:hAnsi="Arial" w:cs="Arial"/>
          <w:sz w:val="24"/>
          <w:szCs w:val="24"/>
        </w:rPr>
        <w:t>The following</w:t>
      </w:r>
      <w:r>
        <w:rPr>
          <w:rFonts w:ascii="Arial" w:hAnsi="Arial" w:cs="Arial"/>
          <w:sz w:val="24"/>
          <w:szCs w:val="24"/>
        </w:rPr>
        <w:t xml:space="preserve"> issues </w:t>
      </w:r>
      <w:r w:rsidR="00D32B0F">
        <w:rPr>
          <w:rFonts w:ascii="Arial" w:hAnsi="Arial" w:cs="Arial"/>
          <w:sz w:val="24"/>
          <w:szCs w:val="24"/>
        </w:rPr>
        <w:t>need addressing –</w:t>
      </w:r>
    </w:p>
    <w:p w:rsidR="0001597E" w:rsidRPr="0001597E" w:rsidRDefault="0001597E" w:rsidP="00D32B0F">
      <w:pPr>
        <w:jc w:val="both"/>
        <w:rPr>
          <w:rFonts w:ascii="Arial" w:hAnsi="Arial" w:cs="Arial"/>
          <w:b/>
          <w:sz w:val="24"/>
          <w:szCs w:val="24"/>
        </w:rPr>
      </w:pPr>
      <w:r w:rsidRPr="0001597E">
        <w:rPr>
          <w:rFonts w:ascii="Arial" w:hAnsi="Arial" w:cs="Arial"/>
          <w:b/>
          <w:sz w:val="24"/>
          <w:szCs w:val="24"/>
        </w:rPr>
        <w:t>Specific questions</w:t>
      </w:r>
    </w:p>
    <w:p w:rsidR="0001597E" w:rsidRPr="0001597E" w:rsidRDefault="0001597E" w:rsidP="00D32B0F">
      <w:pPr>
        <w:jc w:val="both"/>
        <w:rPr>
          <w:rFonts w:ascii="Arial" w:hAnsi="Arial" w:cs="Arial"/>
          <w:i/>
          <w:sz w:val="24"/>
          <w:szCs w:val="24"/>
        </w:rPr>
      </w:pPr>
      <w:r w:rsidRPr="0001597E">
        <w:rPr>
          <w:rFonts w:ascii="Arial" w:hAnsi="Arial" w:cs="Arial"/>
          <w:i/>
          <w:sz w:val="24"/>
          <w:szCs w:val="24"/>
        </w:rPr>
        <w:t>Do the draft guidelines clearly differentiate between simple compounding and complex compounding?</w:t>
      </w:r>
    </w:p>
    <w:p w:rsidR="0001597E" w:rsidRDefault="0001597E" w:rsidP="00D32B0F">
      <w:pPr>
        <w:jc w:val="both"/>
        <w:rPr>
          <w:rFonts w:ascii="Arial" w:hAnsi="Arial" w:cs="Arial"/>
          <w:sz w:val="24"/>
          <w:szCs w:val="24"/>
        </w:rPr>
      </w:pPr>
      <w:r>
        <w:rPr>
          <w:rFonts w:ascii="Arial" w:hAnsi="Arial" w:cs="Arial"/>
          <w:sz w:val="24"/>
          <w:szCs w:val="24"/>
        </w:rPr>
        <w:t>The delineation between the two groups is appropriate. However, the inclusion of monoclonal antibodies under “complex compounding” should be reconsidered. There has been much work on the preparation of monoclonal antibodies recently in regards both the occupational health and safety aspects as well as the complexity aspects.</w:t>
      </w:r>
      <w:r w:rsidRPr="0001597E">
        <w:rPr>
          <w:rFonts w:ascii="Arial" w:hAnsi="Arial" w:cs="Arial"/>
          <w:sz w:val="24"/>
          <w:szCs w:val="24"/>
          <w:vertAlign w:val="superscript"/>
        </w:rPr>
        <w:t>1,2</w:t>
      </w:r>
      <w:r>
        <w:rPr>
          <w:rFonts w:ascii="Arial" w:hAnsi="Arial" w:cs="Arial"/>
          <w:sz w:val="24"/>
          <w:szCs w:val="24"/>
        </w:rPr>
        <w:t xml:space="preserve"> </w:t>
      </w:r>
      <w:r w:rsidR="00FE36A7">
        <w:rPr>
          <w:rFonts w:ascii="Arial" w:hAnsi="Arial" w:cs="Arial"/>
          <w:sz w:val="24"/>
          <w:szCs w:val="24"/>
        </w:rPr>
        <w:t>It may be prudent to not class all monoclonal antibodies together, but consider</w:t>
      </w:r>
      <w:r w:rsidR="00AA01B2">
        <w:rPr>
          <w:rFonts w:ascii="Arial" w:hAnsi="Arial" w:cs="Arial"/>
          <w:sz w:val="24"/>
          <w:szCs w:val="24"/>
        </w:rPr>
        <w:t xml:space="preserve"> each as an individual entity</w:t>
      </w:r>
      <w:r w:rsidR="00FE36A7">
        <w:rPr>
          <w:rFonts w:ascii="Arial" w:hAnsi="Arial" w:cs="Arial"/>
          <w:sz w:val="24"/>
          <w:szCs w:val="24"/>
        </w:rPr>
        <w:t>.</w:t>
      </w:r>
    </w:p>
    <w:p w:rsidR="00FE36A7" w:rsidRPr="00FE36A7" w:rsidRDefault="00FE36A7" w:rsidP="00D32B0F">
      <w:pPr>
        <w:pStyle w:val="ListParagraph"/>
        <w:numPr>
          <w:ilvl w:val="0"/>
          <w:numId w:val="1"/>
        </w:numPr>
        <w:jc w:val="both"/>
        <w:rPr>
          <w:rFonts w:ascii="Arial" w:hAnsi="Arial" w:cs="Arial"/>
          <w:sz w:val="24"/>
          <w:szCs w:val="24"/>
        </w:rPr>
      </w:pPr>
      <w:r w:rsidRPr="00FE36A7">
        <w:rPr>
          <w:rFonts w:ascii="Arial" w:hAnsi="Arial" w:cs="Arial"/>
          <w:sz w:val="24"/>
          <w:szCs w:val="24"/>
        </w:rPr>
        <w:t xml:space="preserve">Siderov J. Safe handling of monoclonal antibodies in the health care setting. Position Statement. COSA November 2013 available at </w:t>
      </w:r>
      <w:hyperlink r:id="rId8" w:history="1">
        <w:r w:rsidRPr="00FE36A7">
          <w:rPr>
            <w:rStyle w:val="Hyperlink"/>
            <w:rFonts w:ascii="Arial" w:hAnsi="Arial" w:cs="Arial"/>
            <w:sz w:val="24"/>
            <w:szCs w:val="24"/>
          </w:rPr>
          <w:t>https://www.cosa.org.au/publications/position-statements.aspx</w:t>
        </w:r>
      </w:hyperlink>
      <w:r w:rsidRPr="00FE36A7">
        <w:rPr>
          <w:rFonts w:ascii="Arial" w:hAnsi="Arial" w:cs="Arial"/>
          <w:sz w:val="24"/>
          <w:szCs w:val="24"/>
        </w:rPr>
        <w:t xml:space="preserve"> </w:t>
      </w:r>
    </w:p>
    <w:p w:rsidR="00FE36A7" w:rsidRPr="00FE36A7" w:rsidRDefault="00FE36A7" w:rsidP="00D32B0F">
      <w:pPr>
        <w:pStyle w:val="ListParagraph"/>
        <w:numPr>
          <w:ilvl w:val="0"/>
          <w:numId w:val="1"/>
        </w:numPr>
        <w:jc w:val="both"/>
        <w:rPr>
          <w:rFonts w:ascii="Arial" w:hAnsi="Arial" w:cs="Arial"/>
          <w:sz w:val="24"/>
          <w:szCs w:val="24"/>
        </w:rPr>
      </w:pPr>
      <w:r>
        <w:rPr>
          <w:rFonts w:ascii="Arial" w:hAnsi="Arial" w:cs="Arial"/>
          <w:sz w:val="24"/>
          <w:szCs w:val="24"/>
        </w:rPr>
        <w:t>W</w:t>
      </w:r>
      <w:r w:rsidR="00AA01B2">
        <w:rPr>
          <w:rFonts w:ascii="Arial" w:hAnsi="Arial" w:cs="Arial"/>
          <w:sz w:val="24"/>
          <w:szCs w:val="24"/>
        </w:rPr>
        <w:t xml:space="preserve">estern &amp; Central Melbourne Integrated Cancer Service. Australian consensus guidelines for the safe handling of monoclonal antibodies for cancer treatment by healthcare personnel. WCMICS April 2014 available at </w:t>
      </w:r>
      <w:hyperlink r:id="rId9" w:history="1">
        <w:r w:rsidR="00AA01B2" w:rsidRPr="009A77C8">
          <w:rPr>
            <w:rStyle w:val="Hyperlink"/>
            <w:rFonts w:ascii="Arial" w:hAnsi="Arial" w:cs="Arial"/>
            <w:sz w:val="24"/>
            <w:szCs w:val="24"/>
          </w:rPr>
          <w:t>http://www.wcmics.org/guidelines/</w:t>
        </w:r>
      </w:hyperlink>
      <w:r w:rsidR="00AA01B2">
        <w:rPr>
          <w:rFonts w:ascii="Arial" w:hAnsi="Arial" w:cs="Arial"/>
          <w:sz w:val="24"/>
          <w:szCs w:val="24"/>
        </w:rPr>
        <w:t xml:space="preserve"> </w:t>
      </w:r>
    </w:p>
    <w:p w:rsidR="0001597E" w:rsidRPr="00713806" w:rsidRDefault="00FE36A7" w:rsidP="00D32B0F">
      <w:pPr>
        <w:jc w:val="both"/>
        <w:rPr>
          <w:rFonts w:ascii="Arial" w:hAnsi="Arial" w:cs="Arial"/>
          <w:b/>
          <w:i/>
          <w:sz w:val="24"/>
          <w:szCs w:val="24"/>
        </w:rPr>
      </w:pPr>
      <w:r w:rsidRPr="00713806">
        <w:rPr>
          <w:rFonts w:ascii="Arial" w:hAnsi="Arial" w:cs="Arial"/>
          <w:b/>
          <w:i/>
          <w:sz w:val="24"/>
          <w:szCs w:val="24"/>
        </w:rPr>
        <w:t>Other comments</w:t>
      </w:r>
    </w:p>
    <w:p w:rsidR="00FE36A7" w:rsidRDefault="00FE36A7" w:rsidP="00D32B0F">
      <w:pPr>
        <w:shd w:val="clear" w:color="auto" w:fill="D9D9D9" w:themeFill="background1" w:themeFillShade="D9"/>
        <w:jc w:val="both"/>
        <w:rPr>
          <w:rFonts w:ascii="Arial" w:hAnsi="Arial" w:cs="Arial"/>
          <w:sz w:val="24"/>
          <w:szCs w:val="24"/>
        </w:rPr>
      </w:pPr>
      <w:r>
        <w:rPr>
          <w:rFonts w:ascii="Arial" w:hAnsi="Arial" w:cs="Arial"/>
          <w:sz w:val="24"/>
          <w:szCs w:val="24"/>
        </w:rPr>
        <w:t>Page 7: “</w:t>
      </w:r>
      <w:r w:rsidRPr="00FE36A7">
        <w:rPr>
          <w:rFonts w:ascii="Arial" w:hAnsi="Arial" w:cs="Arial"/>
          <w:i/>
          <w:sz w:val="24"/>
          <w:szCs w:val="24"/>
        </w:rPr>
        <w:t>If employed in a public hospital...</w:t>
      </w:r>
      <w:r w:rsidRPr="00FE36A7">
        <w:rPr>
          <w:rFonts w:ascii="Arial" w:hAnsi="Arial" w:cs="Arial"/>
          <w:sz w:val="24"/>
          <w:szCs w:val="24"/>
        </w:rPr>
        <w:t>”</w:t>
      </w:r>
    </w:p>
    <w:p w:rsidR="00FE36A7" w:rsidRDefault="00FE36A7" w:rsidP="00D32B0F">
      <w:pPr>
        <w:jc w:val="both"/>
        <w:rPr>
          <w:rFonts w:ascii="Arial" w:hAnsi="Arial" w:cs="Arial"/>
          <w:sz w:val="24"/>
          <w:szCs w:val="24"/>
        </w:rPr>
      </w:pPr>
      <w:r>
        <w:rPr>
          <w:rFonts w:ascii="Arial" w:hAnsi="Arial" w:cs="Arial"/>
          <w:sz w:val="24"/>
          <w:szCs w:val="24"/>
        </w:rPr>
        <w:t>Is the intent of this sentence to allow pharmacists in one public hospital to prepare simple and/or complex compounding for administration to patients in another hospital in the same state or territory? It seems to contradict the earlier sentence “</w:t>
      </w:r>
      <w:r w:rsidRPr="00FE36A7">
        <w:rPr>
          <w:rFonts w:ascii="Arial" w:hAnsi="Arial" w:cs="Arial"/>
          <w:i/>
          <w:sz w:val="24"/>
          <w:szCs w:val="24"/>
        </w:rPr>
        <w:t>Pharmacists may only supply medicines</w:t>
      </w:r>
      <w:r>
        <w:rPr>
          <w:rFonts w:ascii="Arial" w:hAnsi="Arial" w:cs="Arial"/>
          <w:sz w:val="24"/>
          <w:szCs w:val="24"/>
        </w:rPr>
        <w:t xml:space="preserve">...” </w:t>
      </w:r>
    </w:p>
    <w:p w:rsidR="006F343A" w:rsidRPr="006F343A" w:rsidRDefault="00FE36A7" w:rsidP="006F343A">
      <w:pPr>
        <w:shd w:val="clear" w:color="auto" w:fill="D9D9D9" w:themeFill="background1" w:themeFillShade="D9"/>
        <w:jc w:val="both"/>
        <w:rPr>
          <w:rFonts w:ascii="Arial" w:hAnsi="Arial" w:cs="Arial"/>
          <w:sz w:val="24"/>
          <w:szCs w:val="24"/>
        </w:rPr>
      </w:pPr>
      <w:r w:rsidRPr="006F343A">
        <w:rPr>
          <w:rFonts w:ascii="Arial" w:hAnsi="Arial" w:cs="Arial"/>
          <w:sz w:val="24"/>
          <w:szCs w:val="24"/>
        </w:rPr>
        <w:t xml:space="preserve">Page 9: </w:t>
      </w:r>
      <w:r w:rsidR="006F343A" w:rsidRPr="006F343A">
        <w:rPr>
          <w:rFonts w:ascii="Arial" w:hAnsi="Arial" w:cs="Arial"/>
          <w:i/>
          <w:sz w:val="24"/>
          <w:szCs w:val="24"/>
        </w:rPr>
        <w:t>These guidelines must be read in conjunction with</w:t>
      </w:r>
    </w:p>
    <w:p w:rsidR="00FE36A7" w:rsidRDefault="00FE36A7" w:rsidP="00D32B0F">
      <w:pPr>
        <w:jc w:val="both"/>
        <w:rPr>
          <w:rFonts w:ascii="Arial" w:hAnsi="Arial" w:cs="Arial"/>
          <w:sz w:val="24"/>
          <w:szCs w:val="24"/>
        </w:rPr>
      </w:pPr>
      <w:r>
        <w:rPr>
          <w:rFonts w:ascii="Arial" w:hAnsi="Arial" w:cs="Arial"/>
          <w:sz w:val="24"/>
          <w:szCs w:val="24"/>
        </w:rPr>
        <w:t xml:space="preserve">The suggested </w:t>
      </w:r>
      <w:r w:rsidR="006F343A">
        <w:rPr>
          <w:rFonts w:ascii="Arial" w:hAnsi="Arial" w:cs="Arial"/>
          <w:sz w:val="24"/>
          <w:szCs w:val="24"/>
        </w:rPr>
        <w:t>list of guidelines</w:t>
      </w:r>
      <w:r>
        <w:rPr>
          <w:rFonts w:ascii="Arial" w:hAnsi="Arial" w:cs="Arial"/>
          <w:sz w:val="24"/>
          <w:szCs w:val="24"/>
        </w:rPr>
        <w:t xml:space="preserve"> should be reviewed. The </w:t>
      </w:r>
      <w:r w:rsidR="00412B5A">
        <w:rPr>
          <w:rFonts w:ascii="Arial" w:hAnsi="Arial" w:cs="Arial"/>
          <w:sz w:val="24"/>
          <w:szCs w:val="24"/>
        </w:rPr>
        <w:t>4</w:t>
      </w:r>
      <w:r w:rsidR="00412B5A" w:rsidRPr="00412B5A">
        <w:rPr>
          <w:rFonts w:ascii="Arial" w:hAnsi="Arial" w:cs="Arial"/>
          <w:sz w:val="24"/>
          <w:szCs w:val="24"/>
          <w:vertAlign w:val="superscript"/>
        </w:rPr>
        <w:t>th</w:t>
      </w:r>
      <w:r w:rsidR="00412B5A">
        <w:rPr>
          <w:rFonts w:ascii="Arial" w:hAnsi="Arial" w:cs="Arial"/>
          <w:sz w:val="24"/>
          <w:szCs w:val="24"/>
        </w:rPr>
        <w:t xml:space="preserve"> dot point is redundant (</w:t>
      </w:r>
      <w:r w:rsidR="00E80714">
        <w:rPr>
          <w:rFonts w:ascii="Arial" w:hAnsi="Arial" w:cs="Arial"/>
          <w:sz w:val="24"/>
          <w:szCs w:val="24"/>
        </w:rPr>
        <w:t>from memory also receded by SHPA</w:t>
      </w:r>
      <w:r w:rsidR="00412B5A">
        <w:rPr>
          <w:rFonts w:ascii="Arial" w:hAnsi="Arial" w:cs="Arial"/>
          <w:sz w:val="24"/>
          <w:szCs w:val="24"/>
        </w:rPr>
        <w:t xml:space="preserve">). </w:t>
      </w:r>
      <w:r w:rsidR="00AA01B2">
        <w:rPr>
          <w:rFonts w:ascii="Arial" w:hAnsi="Arial" w:cs="Arial"/>
          <w:sz w:val="24"/>
          <w:szCs w:val="24"/>
        </w:rPr>
        <w:t>One o</w:t>
      </w:r>
      <w:r w:rsidR="00412B5A">
        <w:rPr>
          <w:rFonts w:ascii="Arial" w:hAnsi="Arial" w:cs="Arial"/>
          <w:sz w:val="24"/>
          <w:szCs w:val="24"/>
        </w:rPr>
        <w:t xml:space="preserve">ther standard which should be included </w:t>
      </w:r>
      <w:r w:rsidR="00AA01B2">
        <w:rPr>
          <w:rFonts w:ascii="Arial" w:hAnsi="Arial" w:cs="Arial"/>
          <w:sz w:val="24"/>
          <w:szCs w:val="24"/>
        </w:rPr>
        <w:t>is</w:t>
      </w:r>
      <w:r w:rsidR="00412B5A">
        <w:rPr>
          <w:rFonts w:ascii="Arial" w:hAnsi="Arial" w:cs="Arial"/>
          <w:sz w:val="24"/>
          <w:szCs w:val="24"/>
        </w:rPr>
        <w:t>:</w:t>
      </w:r>
    </w:p>
    <w:p w:rsidR="00412B5A" w:rsidRPr="00AA01B2" w:rsidRDefault="00AA01B2" w:rsidP="00D32B0F">
      <w:pPr>
        <w:pStyle w:val="ListParagraph"/>
        <w:numPr>
          <w:ilvl w:val="0"/>
          <w:numId w:val="2"/>
        </w:numPr>
        <w:jc w:val="both"/>
        <w:rPr>
          <w:rFonts w:ascii="Arial" w:hAnsi="Arial" w:cs="Arial"/>
          <w:sz w:val="28"/>
          <w:szCs w:val="24"/>
        </w:rPr>
      </w:pPr>
      <w:r w:rsidRPr="00AA01B2">
        <w:rPr>
          <w:rFonts w:ascii="Arial" w:hAnsi="Arial" w:cs="Arial"/>
          <w:sz w:val="24"/>
        </w:rPr>
        <w:t>Carrington C, Stone L, Koczwara B, et al. The Clinical Oncological Society of Australia (COSA) guidelines for the safe prescribing, dispensing and administration of cancer chemotherapy. Asia Pacific J Clin Oncol 2010; 6:220-37</w:t>
      </w:r>
    </w:p>
    <w:p w:rsidR="00D32B0F" w:rsidRDefault="00D32B0F">
      <w:pPr>
        <w:rPr>
          <w:rFonts w:ascii="Arial" w:hAnsi="Arial" w:cs="Arial"/>
          <w:sz w:val="24"/>
          <w:szCs w:val="24"/>
        </w:rPr>
      </w:pPr>
      <w:r>
        <w:rPr>
          <w:rFonts w:ascii="Arial" w:hAnsi="Arial" w:cs="Arial"/>
          <w:sz w:val="24"/>
          <w:szCs w:val="24"/>
        </w:rPr>
        <w:br w:type="page"/>
      </w:r>
    </w:p>
    <w:p w:rsidR="00412B5A" w:rsidRDefault="00412B5A" w:rsidP="00D32B0F">
      <w:pPr>
        <w:shd w:val="clear" w:color="auto" w:fill="D9D9D9" w:themeFill="background1" w:themeFillShade="D9"/>
        <w:jc w:val="both"/>
        <w:rPr>
          <w:rFonts w:ascii="Arial" w:hAnsi="Arial" w:cs="Arial"/>
          <w:sz w:val="24"/>
          <w:szCs w:val="24"/>
        </w:rPr>
      </w:pPr>
      <w:r>
        <w:rPr>
          <w:rFonts w:ascii="Arial" w:hAnsi="Arial" w:cs="Arial"/>
          <w:sz w:val="24"/>
          <w:szCs w:val="24"/>
        </w:rPr>
        <w:lastRenderedPageBreak/>
        <w:t xml:space="preserve">Page 12: </w:t>
      </w:r>
      <w:r>
        <w:rPr>
          <w:rFonts w:ascii="Arial" w:hAnsi="Arial" w:cs="Arial"/>
          <w:i/>
          <w:sz w:val="24"/>
          <w:szCs w:val="24"/>
        </w:rPr>
        <w:t>Compounding of parenteral medicines in advance</w:t>
      </w:r>
    </w:p>
    <w:p w:rsidR="00412B5A" w:rsidRDefault="00412B5A" w:rsidP="00D32B0F">
      <w:pPr>
        <w:jc w:val="both"/>
        <w:rPr>
          <w:rFonts w:ascii="Arial" w:hAnsi="Arial" w:cs="Arial"/>
          <w:sz w:val="24"/>
          <w:szCs w:val="24"/>
        </w:rPr>
      </w:pPr>
      <w:r>
        <w:rPr>
          <w:rFonts w:ascii="Arial" w:hAnsi="Arial" w:cs="Arial"/>
          <w:sz w:val="24"/>
          <w:szCs w:val="24"/>
        </w:rPr>
        <w:t>The final sentence in this section is ambiguous. Many medicines are compounded by hospital pharmacy departments which may be administered as a continuous infusion over 7 days, or which have a shelf life of greater than 24 hours. This final sentence suggests that items with a shelf life of more than 24 hours must be compounded elsewhere? Is this the intent of this sentence?</w:t>
      </w:r>
      <w:r w:rsidR="0007530B">
        <w:rPr>
          <w:rFonts w:ascii="Arial" w:hAnsi="Arial" w:cs="Arial"/>
          <w:sz w:val="24"/>
          <w:szCs w:val="24"/>
        </w:rPr>
        <w:t xml:space="preserve"> </w:t>
      </w:r>
    </w:p>
    <w:p w:rsidR="0007530B" w:rsidRDefault="0007530B" w:rsidP="00D32B0F">
      <w:pPr>
        <w:shd w:val="clear" w:color="auto" w:fill="D9D9D9" w:themeFill="background1" w:themeFillShade="D9"/>
        <w:jc w:val="both"/>
        <w:rPr>
          <w:rFonts w:ascii="Arial" w:hAnsi="Arial" w:cs="Arial"/>
          <w:sz w:val="24"/>
          <w:szCs w:val="24"/>
        </w:rPr>
      </w:pPr>
      <w:r>
        <w:rPr>
          <w:rFonts w:ascii="Arial" w:hAnsi="Arial" w:cs="Arial"/>
          <w:sz w:val="24"/>
          <w:szCs w:val="24"/>
        </w:rPr>
        <w:t xml:space="preserve">Page 13: </w:t>
      </w:r>
      <w:r>
        <w:rPr>
          <w:rFonts w:ascii="Arial" w:hAnsi="Arial" w:cs="Arial"/>
          <w:i/>
          <w:sz w:val="24"/>
          <w:szCs w:val="24"/>
        </w:rPr>
        <w:t>Facilities, working environments and equipment</w:t>
      </w:r>
    </w:p>
    <w:p w:rsidR="0007530B" w:rsidRDefault="0007530B" w:rsidP="00D32B0F">
      <w:pPr>
        <w:jc w:val="both"/>
        <w:rPr>
          <w:rFonts w:ascii="Arial" w:hAnsi="Arial" w:cs="Arial"/>
          <w:sz w:val="24"/>
          <w:szCs w:val="24"/>
        </w:rPr>
      </w:pPr>
      <w:r>
        <w:rPr>
          <w:rFonts w:ascii="Arial" w:hAnsi="Arial" w:cs="Arial"/>
          <w:sz w:val="24"/>
          <w:szCs w:val="24"/>
        </w:rPr>
        <w:t xml:space="preserve">One major issue lacking in these guidelines is guidance on appropriate workload. </w:t>
      </w:r>
      <w:r w:rsidR="00B35DEB">
        <w:rPr>
          <w:rFonts w:ascii="Arial" w:hAnsi="Arial" w:cs="Arial"/>
          <w:sz w:val="24"/>
          <w:szCs w:val="24"/>
        </w:rPr>
        <w:t xml:space="preserve">One major source of error in compounding is fatigue. Therefore, it is imperative that these guidelines offer a reasonable and </w:t>
      </w:r>
      <w:r>
        <w:rPr>
          <w:rFonts w:ascii="Arial" w:hAnsi="Arial" w:cs="Arial"/>
          <w:sz w:val="24"/>
          <w:szCs w:val="24"/>
        </w:rPr>
        <w:t xml:space="preserve">appropriate benchmark for staff numbers for complex </w:t>
      </w:r>
      <w:r w:rsidR="00B35DEB">
        <w:rPr>
          <w:rFonts w:ascii="Arial" w:hAnsi="Arial" w:cs="Arial"/>
          <w:sz w:val="24"/>
          <w:szCs w:val="24"/>
        </w:rPr>
        <w:t>compounding.</w:t>
      </w:r>
      <w:r w:rsidR="00D32B0F">
        <w:rPr>
          <w:rFonts w:ascii="Arial" w:hAnsi="Arial" w:cs="Arial"/>
          <w:sz w:val="24"/>
          <w:szCs w:val="24"/>
        </w:rPr>
        <w:t xml:space="preserve"> For example, h</w:t>
      </w:r>
      <w:r>
        <w:rPr>
          <w:rFonts w:ascii="Arial" w:hAnsi="Arial" w:cs="Arial"/>
          <w:sz w:val="24"/>
          <w:szCs w:val="24"/>
        </w:rPr>
        <w:t xml:space="preserve">ow many complex compounding items is considered acceptable for one staff member to prepare in a set period of time? </w:t>
      </w:r>
    </w:p>
    <w:p w:rsidR="00B35DEB" w:rsidRDefault="00B35DEB" w:rsidP="00D32B0F">
      <w:pPr>
        <w:jc w:val="both"/>
        <w:rPr>
          <w:rFonts w:ascii="Arial" w:hAnsi="Arial" w:cs="Arial"/>
          <w:sz w:val="24"/>
          <w:szCs w:val="24"/>
        </w:rPr>
      </w:pPr>
      <w:r>
        <w:rPr>
          <w:rFonts w:ascii="Arial" w:hAnsi="Arial" w:cs="Arial"/>
          <w:sz w:val="24"/>
          <w:szCs w:val="24"/>
        </w:rPr>
        <w:t>There has been substantial evidence on workplace contamination with cytotoxic agents, both in Australia</w:t>
      </w:r>
      <w:r w:rsidRPr="00B35DEB">
        <w:rPr>
          <w:rFonts w:ascii="Arial" w:hAnsi="Arial" w:cs="Arial"/>
          <w:sz w:val="24"/>
          <w:szCs w:val="24"/>
          <w:vertAlign w:val="superscript"/>
        </w:rPr>
        <w:t xml:space="preserve">3,4 </w:t>
      </w:r>
      <w:r>
        <w:rPr>
          <w:rFonts w:ascii="Arial" w:hAnsi="Arial" w:cs="Arial"/>
          <w:sz w:val="24"/>
          <w:szCs w:val="24"/>
        </w:rPr>
        <w:t>and overseas.</w:t>
      </w:r>
      <w:r w:rsidRPr="00B35DEB">
        <w:rPr>
          <w:rFonts w:ascii="Arial" w:hAnsi="Arial" w:cs="Arial"/>
          <w:sz w:val="24"/>
          <w:szCs w:val="24"/>
          <w:vertAlign w:val="superscript"/>
        </w:rPr>
        <w:t>5,6</w:t>
      </w:r>
      <w:r>
        <w:rPr>
          <w:rFonts w:ascii="Arial" w:hAnsi="Arial" w:cs="Arial"/>
          <w:sz w:val="24"/>
          <w:szCs w:val="24"/>
        </w:rPr>
        <w:t xml:space="preserve"> These are despite compliance with accepted standards of practice. It would seem appropriate </w:t>
      </w:r>
      <w:r w:rsidR="006B1FF1">
        <w:rPr>
          <w:rFonts w:ascii="Arial" w:hAnsi="Arial" w:cs="Arial"/>
          <w:sz w:val="24"/>
          <w:szCs w:val="24"/>
        </w:rPr>
        <w:t>for these guidelines to include a statement on the importance of closed system drug transfer devices in the compounding of complex medicines where an occupational health and safety concern exists. These devices minimise the risk of occupational exposure to hazardous agents, as well as eliminate needle stick injury (page 14, section 6).</w:t>
      </w:r>
    </w:p>
    <w:p w:rsidR="00AA01B2" w:rsidRPr="00E80714" w:rsidRDefault="00AA01B2" w:rsidP="00D32B0F">
      <w:pPr>
        <w:pStyle w:val="ListParagraph"/>
        <w:numPr>
          <w:ilvl w:val="0"/>
          <w:numId w:val="1"/>
        </w:numPr>
        <w:jc w:val="both"/>
        <w:rPr>
          <w:rFonts w:ascii="Arial" w:hAnsi="Arial" w:cs="Arial"/>
          <w:sz w:val="24"/>
          <w:szCs w:val="24"/>
        </w:rPr>
      </w:pPr>
      <w:r w:rsidRPr="00E80714">
        <w:rPr>
          <w:rFonts w:ascii="Arial" w:hAnsi="Arial" w:cs="Arial"/>
          <w:bCs/>
          <w:sz w:val="24"/>
          <w:szCs w:val="24"/>
        </w:rPr>
        <w:t xml:space="preserve">Siderov J, Kirsa S, McLauchlan R. </w:t>
      </w:r>
      <w:r w:rsidRPr="00E80714">
        <w:rPr>
          <w:rFonts w:ascii="Arial" w:hAnsi="Arial" w:cs="Arial"/>
          <w:sz w:val="24"/>
          <w:szCs w:val="24"/>
        </w:rPr>
        <w:t>Surface contamination of chemotherapy preparation areas with cyclophosphamide in Australian hospital pharmacy departments. J Pharm Pract Res 2009; 39:95-9</w:t>
      </w:r>
    </w:p>
    <w:p w:rsidR="00E80714" w:rsidRPr="00E80714" w:rsidRDefault="00AA01B2" w:rsidP="00D32B0F">
      <w:pPr>
        <w:pStyle w:val="ListParagraph"/>
        <w:numPr>
          <w:ilvl w:val="0"/>
          <w:numId w:val="1"/>
        </w:numPr>
        <w:jc w:val="both"/>
        <w:rPr>
          <w:rFonts w:ascii="Arial" w:hAnsi="Arial" w:cs="Arial"/>
          <w:sz w:val="24"/>
          <w:szCs w:val="24"/>
        </w:rPr>
      </w:pPr>
      <w:r w:rsidRPr="00E80714">
        <w:rPr>
          <w:rFonts w:ascii="Arial" w:hAnsi="Arial" w:cs="Arial"/>
          <w:bCs/>
          <w:sz w:val="24"/>
          <w:szCs w:val="24"/>
        </w:rPr>
        <w:t xml:space="preserve">Siderov J, Kirsa S, McLauchlan R. </w:t>
      </w:r>
      <w:r w:rsidRPr="00E80714">
        <w:rPr>
          <w:rFonts w:ascii="Arial" w:hAnsi="Arial" w:cs="Arial"/>
          <w:sz w:val="24"/>
          <w:szCs w:val="24"/>
        </w:rPr>
        <w:t>Reducing workplace cytotoxic surface contamination using a closed-system drug transfer device</w:t>
      </w:r>
      <w:r w:rsidRPr="00E80714">
        <w:rPr>
          <w:rFonts w:ascii="Arial" w:hAnsi="Arial" w:cs="Arial"/>
          <w:bCs/>
          <w:sz w:val="24"/>
          <w:szCs w:val="24"/>
        </w:rPr>
        <w:t>. J Oncol Pharm Pract 2010; 16:19-25</w:t>
      </w:r>
    </w:p>
    <w:p w:rsidR="00E80714" w:rsidRPr="00E80714" w:rsidRDefault="006B1FF1" w:rsidP="00D32B0F">
      <w:pPr>
        <w:pStyle w:val="ListParagraph"/>
        <w:numPr>
          <w:ilvl w:val="0"/>
          <w:numId w:val="1"/>
        </w:numPr>
        <w:jc w:val="both"/>
        <w:rPr>
          <w:rFonts w:ascii="Arial" w:hAnsi="Arial" w:cs="Arial"/>
          <w:sz w:val="24"/>
          <w:szCs w:val="24"/>
        </w:rPr>
      </w:pPr>
      <w:r w:rsidRPr="00E80714">
        <w:rPr>
          <w:rFonts w:ascii="Arial" w:hAnsi="Arial" w:cs="Arial"/>
          <w:sz w:val="24"/>
          <w:szCs w:val="24"/>
        </w:rPr>
        <w:t>Sessink</w:t>
      </w:r>
      <w:r w:rsidR="00AA01B2" w:rsidRPr="00E80714">
        <w:rPr>
          <w:rFonts w:ascii="Arial" w:hAnsi="Arial" w:cs="Arial"/>
          <w:sz w:val="24"/>
          <w:szCs w:val="24"/>
        </w:rPr>
        <w:t xml:space="preserve"> P, Connor T, Jorgenson J, Tyler T. Reduction in surface contamination with antineoplastic drugs in 22 hospital pharmacies in the US following implementation of a closed-system drug transfer device. J Oncol Pharm Pract 2</w:t>
      </w:r>
      <w:r w:rsidR="00E80714" w:rsidRPr="00E80714">
        <w:rPr>
          <w:rFonts w:ascii="Arial" w:hAnsi="Arial" w:cs="Arial"/>
          <w:sz w:val="24"/>
          <w:szCs w:val="24"/>
        </w:rPr>
        <w:t>01</w:t>
      </w:r>
      <w:r w:rsidR="00E80714">
        <w:rPr>
          <w:rFonts w:ascii="Arial" w:hAnsi="Arial" w:cs="Arial"/>
          <w:sz w:val="24"/>
          <w:szCs w:val="24"/>
        </w:rPr>
        <w:t>1</w:t>
      </w:r>
      <w:r w:rsidR="00E80714" w:rsidRPr="00E80714">
        <w:rPr>
          <w:rFonts w:ascii="Arial" w:hAnsi="Arial" w:cs="Arial"/>
          <w:sz w:val="24"/>
          <w:szCs w:val="24"/>
        </w:rPr>
        <w:t>;</w:t>
      </w:r>
      <w:r w:rsidR="00E80714">
        <w:rPr>
          <w:rFonts w:ascii="Arial" w:hAnsi="Arial" w:cs="Arial"/>
          <w:sz w:val="24"/>
          <w:szCs w:val="24"/>
        </w:rPr>
        <w:t xml:space="preserve"> 17:39-48</w:t>
      </w:r>
    </w:p>
    <w:p w:rsidR="006B1FF1" w:rsidRPr="00E80714" w:rsidRDefault="00AA01B2" w:rsidP="00D32B0F">
      <w:pPr>
        <w:pStyle w:val="ListParagraph"/>
        <w:numPr>
          <w:ilvl w:val="0"/>
          <w:numId w:val="1"/>
        </w:numPr>
        <w:jc w:val="both"/>
        <w:rPr>
          <w:rFonts w:ascii="Arial" w:hAnsi="Arial" w:cs="Arial"/>
          <w:sz w:val="24"/>
          <w:szCs w:val="24"/>
        </w:rPr>
      </w:pPr>
      <w:r w:rsidRPr="00E80714">
        <w:rPr>
          <w:rFonts w:ascii="Arial" w:hAnsi="Arial" w:cs="Arial"/>
          <w:color w:val="231F20"/>
          <w:sz w:val="24"/>
          <w:szCs w:val="24"/>
        </w:rPr>
        <w:t>Connor T, Anderson R, Sessink P, Broadfield L, Power L. Surface</w:t>
      </w:r>
      <w:r w:rsidR="00E80714" w:rsidRPr="00E80714">
        <w:rPr>
          <w:rFonts w:ascii="Arial" w:hAnsi="Arial" w:cs="Arial"/>
          <w:color w:val="231F20"/>
          <w:sz w:val="24"/>
          <w:szCs w:val="24"/>
        </w:rPr>
        <w:t xml:space="preserve"> </w:t>
      </w:r>
      <w:r w:rsidRPr="00E80714">
        <w:rPr>
          <w:rFonts w:ascii="Arial" w:hAnsi="Arial" w:cs="Arial"/>
          <w:color w:val="231F20"/>
          <w:sz w:val="24"/>
          <w:szCs w:val="24"/>
        </w:rPr>
        <w:t>contamination with antineoplastic agents in six cancer treatment centres in</w:t>
      </w:r>
      <w:r w:rsidR="00E80714" w:rsidRPr="00E80714">
        <w:rPr>
          <w:rFonts w:ascii="Arial" w:hAnsi="Arial" w:cs="Arial"/>
          <w:color w:val="231F20"/>
          <w:sz w:val="24"/>
          <w:szCs w:val="24"/>
        </w:rPr>
        <w:t xml:space="preserve"> </w:t>
      </w:r>
      <w:r w:rsidRPr="00E80714">
        <w:rPr>
          <w:rFonts w:ascii="Arial" w:hAnsi="Arial" w:cs="Arial"/>
          <w:color w:val="231F20"/>
          <w:sz w:val="24"/>
          <w:szCs w:val="24"/>
        </w:rPr>
        <w:t>Canada and the United States. Am J Health Syst Pharm 1999; 56: 1427-</w:t>
      </w:r>
      <w:r w:rsidR="00E80714">
        <w:rPr>
          <w:rFonts w:ascii="Arial" w:hAnsi="Arial" w:cs="Arial"/>
          <w:color w:val="231F20"/>
          <w:sz w:val="24"/>
          <w:szCs w:val="24"/>
        </w:rPr>
        <w:t>32</w:t>
      </w:r>
    </w:p>
    <w:p w:rsidR="00E80714" w:rsidRPr="00E80714" w:rsidRDefault="00E80714" w:rsidP="00D32B0F">
      <w:pPr>
        <w:autoSpaceDE w:val="0"/>
        <w:autoSpaceDN w:val="0"/>
        <w:adjustRightInd w:val="0"/>
        <w:spacing w:after="0" w:line="240" w:lineRule="auto"/>
        <w:jc w:val="both"/>
        <w:rPr>
          <w:rFonts w:ascii="Arial" w:hAnsi="Arial" w:cs="Arial"/>
          <w:sz w:val="24"/>
          <w:szCs w:val="24"/>
        </w:rPr>
      </w:pPr>
    </w:p>
    <w:p w:rsidR="006B1FF1" w:rsidRDefault="006B1FF1" w:rsidP="00D32B0F">
      <w:pPr>
        <w:shd w:val="clear" w:color="auto" w:fill="D9D9D9" w:themeFill="background1" w:themeFillShade="D9"/>
        <w:jc w:val="both"/>
        <w:rPr>
          <w:rFonts w:ascii="Arial" w:hAnsi="Arial" w:cs="Arial"/>
          <w:sz w:val="24"/>
          <w:szCs w:val="24"/>
        </w:rPr>
      </w:pPr>
      <w:r>
        <w:rPr>
          <w:rFonts w:ascii="Arial" w:hAnsi="Arial" w:cs="Arial"/>
          <w:sz w:val="24"/>
          <w:szCs w:val="24"/>
        </w:rPr>
        <w:t xml:space="preserve">Page 16: </w:t>
      </w:r>
      <w:r w:rsidRPr="00713806">
        <w:rPr>
          <w:rFonts w:ascii="Arial" w:hAnsi="Arial" w:cs="Arial"/>
          <w:i/>
          <w:sz w:val="24"/>
          <w:szCs w:val="24"/>
        </w:rPr>
        <w:t>Reference texts</w:t>
      </w:r>
    </w:p>
    <w:p w:rsidR="006B1FF1" w:rsidRDefault="006B1FF1" w:rsidP="00D32B0F">
      <w:pPr>
        <w:jc w:val="both"/>
        <w:rPr>
          <w:rFonts w:ascii="Arial" w:hAnsi="Arial" w:cs="Arial"/>
          <w:sz w:val="24"/>
          <w:szCs w:val="24"/>
        </w:rPr>
      </w:pPr>
      <w:r>
        <w:rPr>
          <w:rFonts w:ascii="Arial" w:hAnsi="Arial" w:cs="Arial"/>
          <w:sz w:val="24"/>
          <w:szCs w:val="24"/>
        </w:rPr>
        <w:t>The “Australian injectable drugs handbook” is an SHPA publication and should be acknowledged.</w:t>
      </w:r>
    </w:p>
    <w:p w:rsidR="003B710D" w:rsidRDefault="003B710D" w:rsidP="00D32B0F">
      <w:pPr>
        <w:jc w:val="both"/>
        <w:rPr>
          <w:rFonts w:ascii="Arial" w:hAnsi="Arial" w:cs="Arial"/>
          <w:sz w:val="24"/>
          <w:szCs w:val="24"/>
        </w:rPr>
      </w:pPr>
    </w:p>
    <w:p w:rsidR="003B710D" w:rsidRDefault="003B710D" w:rsidP="00D32B0F">
      <w:pPr>
        <w:jc w:val="both"/>
        <w:rPr>
          <w:rFonts w:ascii="Arial" w:hAnsi="Arial" w:cs="Arial"/>
          <w:sz w:val="24"/>
          <w:szCs w:val="24"/>
        </w:rPr>
      </w:pPr>
    </w:p>
    <w:p w:rsidR="00713806" w:rsidRDefault="00713806" w:rsidP="00D32B0F">
      <w:pPr>
        <w:jc w:val="both"/>
        <w:rPr>
          <w:rFonts w:ascii="Arial" w:hAnsi="Arial" w:cs="Arial"/>
          <w:sz w:val="24"/>
          <w:szCs w:val="24"/>
        </w:rPr>
      </w:pPr>
      <w:r>
        <w:rPr>
          <w:rFonts w:ascii="Arial" w:hAnsi="Arial" w:cs="Arial"/>
          <w:sz w:val="24"/>
          <w:szCs w:val="24"/>
        </w:rPr>
        <w:t>Jim Siderov BPharm MClinPharm BCOP</w:t>
      </w:r>
    </w:p>
    <w:p w:rsidR="00713806" w:rsidRPr="0007530B" w:rsidRDefault="00713806" w:rsidP="00D32B0F">
      <w:pPr>
        <w:jc w:val="both"/>
        <w:rPr>
          <w:rFonts w:ascii="Arial" w:hAnsi="Arial" w:cs="Arial"/>
          <w:sz w:val="24"/>
          <w:szCs w:val="24"/>
        </w:rPr>
      </w:pPr>
      <w:r>
        <w:rPr>
          <w:rFonts w:ascii="Arial" w:hAnsi="Arial" w:cs="Arial"/>
          <w:sz w:val="24"/>
          <w:szCs w:val="24"/>
        </w:rPr>
        <w:t>Cancer Pharmacist</w:t>
      </w:r>
    </w:p>
    <w:sectPr w:rsidR="00713806" w:rsidRPr="0007530B" w:rsidSect="00A01A7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F2" w:rsidRDefault="00633FF2" w:rsidP="00281C80">
      <w:pPr>
        <w:spacing w:after="0" w:line="240" w:lineRule="auto"/>
      </w:pPr>
      <w:r>
        <w:separator/>
      </w:r>
    </w:p>
  </w:endnote>
  <w:endnote w:type="continuationSeparator" w:id="0">
    <w:p w:rsidR="00633FF2" w:rsidRDefault="00633FF2" w:rsidP="0028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80" w:rsidRDefault="00281C80">
    <w:pPr>
      <w:pStyle w:val="Footer"/>
      <w:pBdr>
        <w:top w:val="thinThickSmallGap" w:sz="24" w:space="1" w:color="622423" w:themeColor="accent2" w:themeShade="7F"/>
      </w:pBdr>
      <w:rPr>
        <w:rFonts w:asciiTheme="majorHAnsi" w:hAnsiTheme="majorHAnsi"/>
      </w:rPr>
    </w:pPr>
    <w:r>
      <w:rPr>
        <w:rFonts w:asciiTheme="majorHAnsi" w:hAnsiTheme="majorHAnsi"/>
      </w:rPr>
      <w:t xml:space="preserve">Siderov – Public consultation – compounding </w:t>
    </w:r>
    <w:r w:rsidRPr="00281C80">
      <w:rPr>
        <w:rFonts w:asciiTheme="majorHAnsi" w:hAnsiTheme="majorHAnsi"/>
      </w:rPr>
      <w:t>medicines</w:t>
    </w:r>
    <w:r w:rsidRPr="00281C80">
      <w:rPr>
        <w:rFonts w:asciiTheme="majorHAnsi" w:hAnsiTheme="majorHAnsi"/>
      </w:rPr>
      <w:ptab w:relativeTo="margin" w:alignment="right" w:leader="none"/>
    </w:r>
    <w:r w:rsidRPr="00281C80">
      <w:rPr>
        <w:rFonts w:asciiTheme="majorHAnsi" w:hAnsiTheme="majorHAnsi"/>
      </w:rPr>
      <w:t xml:space="preserve">Page </w:t>
    </w:r>
    <w:r w:rsidR="00FB2960" w:rsidRPr="00281C80">
      <w:rPr>
        <w:rFonts w:asciiTheme="majorHAnsi" w:hAnsiTheme="majorHAnsi"/>
      </w:rPr>
      <w:fldChar w:fldCharType="begin"/>
    </w:r>
    <w:r w:rsidRPr="00281C80">
      <w:rPr>
        <w:rFonts w:asciiTheme="majorHAnsi" w:hAnsiTheme="majorHAnsi"/>
      </w:rPr>
      <w:instrText xml:space="preserve"> PAGE   \* MERGEFORMAT </w:instrText>
    </w:r>
    <w:r w:rsidR="00FB2960" w:rsidRPr="00281C80">
      <w:rPr>
        <w:rFonts w:asciiTheme="majorHAnsi" w:hAnsiTheme="majorHAnsi"/>
      </w:rPr>
      <w:fldChar w:fldCharType="separate"/>
    </w:r>
    <w:r w:rsidR="006823BB">
      <w:rPr>
        <w:rFonts w:asciiTheme="majorHAnsi" w:hAnsiTheme="majorHAnsi"/>
        <w:noProof/>
      </w:rPr>
      <w:t>1</w:t>
    </w:r>
    <w:r w:rsidR="00FB2960" w:rsidRPr="00281C80">
      <w:rPr>
        <w:rFonts w:asciiTheme="majorHAnsi" w:hAnsiTheme="majorHAnsi"/>
      </w:rPr>
      <w:fldChar w:fldCharType="end"/>
    </w:r>
    <w:r w:rsidRPr="00281C80">
      <w:rPr>
        <w:rFonts w:asciiTheme="majorHAnsi" w:hAnsiTheme="majorHAnsi"/>
      </w:rPr>
      <w:t xml:space="preserve"> of 2</w:t>
    </w:r>
  </w:p>
  <w:p w:rsidR="00281C80" w:rsidRDefault="0028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F2" w:rsidRDefault="00633FF2" w:rsidP="00281C80">
      <w:pPr>
        <w:spacing w:after="0" w:line="240" w:lineRule="auto"/>
      </w:pPr>
      <w:r>
        <w:separator/>
      </w:r>
    </w:p>
  </w:footnote>
  <w:footnote w:type="continuationSeparator" w:id="0">
    <w:p w:rsidR="00633FF2" w:rsidRDefault="00633FF2" w:rsidP="00281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289"/>
    <w:multiLevelType w:val="hybridMultilevel"/>
    <w:tmpl w:val="9C4ED826"/>
    <w:lvl w:ilvl="0" w:tplc="E8B29DAE">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F651640"/>
    <w:multiLevelType w:val="hybridMultilevel"/>
    <w:tmpl w:val="2850EA1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6432C68"/>
    <w:multiLevelType w:val="hybridMultilevel"/>
    <w:tmpl w:val="044661EA"/>
    <w:lvl w:ilvl="0" w:tplc="E848D7D0">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ED6ACB"/>
    <w:multiLevelType w:val="hybridMultilevel"/>
    <w:tmpl w:val="57EEE112"/>
    <w:lvl w:ilvl="0" w:tplc="0C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EC63EF"/>
    <w:multiLevelType w:val="hybridMultilevel"/>
    <w:tmpl w:val="9C4ED826"/>
    <w:lvl w:ilvl="0" w:tplc="E8B29DAE">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597E"/>
    <w:rsid w:val="0001597E"/>
    <w:rsid w:val="0007530B"/>
    <w:rsid w:val="002161E4"/>
    <w:rsid w:val="0026531D"/>
    <w:rsid w:val="00281C80"/>
    <w:rsid w:val="003B710D"/>
    <w:rsid w:val="00412B5A"/>
    <w:rsid w:val="00633FF2"/>
    <w:rsid w:val="006823BB"/>
    <w:rsid w:val="006B1FF1"/>
    <w:rsid w:val="006D1C21"/>
    <w:rsid w:val="006F343A"/>
    <w:rsid w:val="00712AD1"/>
    <w:rsid w:val="00713806"/>
    <w:rsid w:val="007D3D40"/>
    <w:rsid w:val="00866BE4"/>
    <w:rsid w:val="00880CF0"/>
    <w:rsid w:val="00A01A76"/>
    <w:rsid w:val="00AA01B2"/>
    <w:rsid w:val="00B3347F"/>
    <w:rsid w:val="00B35DEB"/>
    <w:rsid w:val="00D32B0F"/>
    <w:rsid w:val="00D96491"/>
    <w:rsid w:val="00DA4810"/>
    <w:rsid w:val="00E648DB"/>
    <w:rsid w:val="00E80714"/>
    <w:rsid w:val="00EE6C11"/>
    <w:rsid w:val="00F84C57"/>
    <w:rsid w:val="00FB2960"/>
    <w:rsid w:val="00FE3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D9C20-4F52-49D7-85D6-562D9949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A7"/>
    <w:pPr>
      <w:ind w:left="720"/>
      <w:contextualSpacing/>
    </w:pPr>
  </w:style>
  <w:style w:type="character" w:styleId="Hyperlink">
    <w:name w:val="Hyperlink"/>
    <w:basedOn w:val="DefaultParagraphFont"/>
    <w:uiPriority w:val="99"/>
    <w:unhideWhenUsed/>
    <w:rsid w:val="00FE36A7"/>
    <w:rPr>
      <w:color w:val="0000FF" w:themeColor="hyperlink"/>
      <w:u w:val="single"/>
    </w:rPr>
  </w:style>
  <w:style w:type="character" w:styleId="FollowedHyperlink">
    <w:name w:val="FollowedHyperlink"/>
    <w:basedOn w:val="DefaultParagraphFont"/>
    <w:uiPriority w:val="99"/>
    <w:semiHidden/>
    <w:unhideWhenUsed/>
    <w:rsid w:val="00FE36A7"/>
    <w:rPr>
      <w:color w:val="800080" w:themeColor="followedHyperlink"/>
      <w:u w:val="single"/>
    </w:rPr>
  </w:style>
  <w:style w:type="paragraph" w:styleId="Header">
    <w:name w:val="header"/>
    <w:basedOn w:val="Normal"/>
    <w:link w:val="HeaderChar"/>
    <w:uiPriority w:val="99"/>
    <w:semiHidden/>
    <w:unhideWhenUsed/>
    <w:rsid w:val="00281C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1C80"/>
  </w:style>
  <w:style w:type="paragraph" w:styleId="Footer">
    <w:name w:val="footer"/>
    <w:basedOn w:val="Normal"/>
    <w:link w:val="FooterChar"/>
    <w:uiPriority w:val="99"/>
    <w:unhideWhenUsed/>
    <w:rsid w:val="00281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80"/>
  </w:style>
  <w:style w:type="paragraph" w:styleId="BalloonText">
    <w:name w:val="Balloon Text"/>
    <w:basedOn w:val="Normal"/>
    <w:link w:val="BalloonTextChar"/>
    <w:uiPriority w:val="99"/>
    <w:semiHidden/>
    <w:unhideWhenUsed/>
    <w:rsid w:val="0028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a.org.au/publications/position-statemen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mics.or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2C7A1-FD8B-414A-AF7B-E105F3A7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Public Consultation on the Draft Guidelines on compounding of medicines, April 2014</vt:lpstr>
    </vt:vector>
  </TitlesOfParts>
  <Company>AHPRA</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Draft Guidelines on compounding of medicines, April 2014</dc:title>
  <dc:subject>Submission</dc:subject>
  <dc:creator>Pharmacy Board</dc:creator>
  <cp:keywords>Jim Siderov</cp:keywords>
  <cp:lastModifiedBy>Tara Johnson</cp:lastModifiedBy>
  <cp:revision>2</cp:revision>
  <dcterms:created xsi:type="dcterms:W3CDTF">2015-03-09T23:00:00Z</dcterms:created>
  <dcterms:modified xsi:type="dcterms:W3CDTF">2015-03-09T23:00:00Z</dcterms:modified>
</cp:coreProperties>
</file>