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E56830" w:rsidP="00192714">
      <w:pPr>
        <w:pStyle w:val="AHPRADocumenttitle"/>
      </w:pPr>
      <w:r>
        <w:t>Public</w:t>
      </w:r>
      <w:r w:rsidR="0058421F">
        <w:t xml:space="preserve"> </w:t>
      </w:r>
      <w:r w:rsidR="00192714">
        <w:t xml:space="preserve">consultation </w:t>
      </w:r>
      <w:r w:rsidR="0058421F">
        <w:t xml:space="preserve">on </w:t>
      </w:r>
      <w:r w:rsidR="00F65455">
        <w:t xml:space="preserve">the </w:t>
      </w:r>
      <w:r w:rsidR="0058421F">
        <w:t xml:space="preserve">draft </w:t>
      </w:r>
      <w:r w:rsidR="00B65321">
        <w:rPr>
          <w:i/>
        </w:rPr>
        <w:t>Professional practice profile for pharmacists undertaking complex compounding</w:t>
      </w:r>
    </w:p>
    <w:p w:rsidR="00192714" w:rsidRPr="0071260D" w:rsidRDefault="00690436" w:rsidP="00192714">
      <w:pPr>
        <w:pStyle w:val="AHPRAHeadline"/>
        <w:outlineLvl w:val="0"/>
        <w:rPr>
          <w:sz w:val="20"/>
        </w:rPr>
      </w:pPr>
      <w:r>
        <w:rPr>
          <w:noProof/>
          <w:sz w:val="20"/>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E56830" w:rsidP="0071260D">
      <w:pPr>
        <w:pStyle w:val="AHPRAbodytext"/>
        <w:spacing w:before="200"/>
      </w:pPr>
      <w:r>
        <w:t>28 April 2014</w:t>
      </w:r>
    </w:p>
    <w:p w:rsidR="00192714" w:rsidRPr="00AE0BFA" w:rsidRDefault="0058421F" w:rsidP="00192714">
      <w:pPr>
        <w:pStyle w:val="AHPRADocumentsubheading"/>
      </w:pPr>
      <w:r>
        <w:t xml:space="preserve">Responses to consultation questions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7"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sidR="00E56830">
        <w:rPr>
          <w:rFonts w:ascii="Arial" w:hAnsi="Arial"/>
          <w:b/>
        </w:rPr>
        <w:t xml:space="preserve">Monday </w:t>
      </w:r>
      <w:r w:rsidR="00E56830">
        <w:rPr>
          <w:rFonts w:ascii="Arial" w:hAnsi="Arial"/>
          <w:b/>
          <w:lang w:val="en-US"/>
        </w:rPr>
        <w:t>30</w:t>
      </w:r>
      <w:r w:rsidR="003E151C" w:rsidRPr="000D72F6">
        <w:rPr>
          <w:rFonts w:ascii="Arial" w:hAnsi="Arial"/>
          <w:b/>
          <w:lang w:val="en-US"/>
        </w:rPr>
        <w:t xml:space="preserve"> </w:t>
      </w:r>
      <w:r w:rsidR="00E56830">
        <w:rPr>
          <w:rFonts w:ascii="Arial" w:hAnsi="Arial"/>
          <w:b/>
          <w:lang w:val="en-US"/>
        </w:rPr>
        <w:t>June 2014</w:t>
      </w:r>
      <w:r w:rsidRPr="000D72F6">
        <w:rPr>
          <w:rFonts w:ascii="Arial" w:hAnsi="Arial"/>
          <w:b/>
        </w:rPr>
        <w:t xml:space="preserve">. </w:t>
      </w:r>
    </w:p>
    <w:bookmarkEnd w:id="0"/>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w:t>
      </w:r>
      <w:bookmarkStart w:id="1" w:name="_GoBack"/>
      <w:bookmarkEnd w:id="1"/>
      <w:r>
        <w:rPr>
          <w:rFonts w:ascii="Arial" w:hAnsi="Arial" w:cs="Arial"/>
          <w:i/>
          <w:color w:val="auto"/>
          <w:szCs w:val="20"/>
        </w:rPr>
        <w:t xml:space="preserve">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2B2C45" w:rsidRDefault="002B2C45" w:rsidP="008F6474">
            <w:pPr>
              <w:pStyle w:val="TableText"/>
              <w:keepNext w:val="0"/>
              <w:spacing w:before="0" w:after="0"/>
              <w:jc w:val="both"/>
              <w:rPr>
                <w:rFonts w:ascii="Arial" w:hAnsi="Arial" w:cs="Arial"/>
                <w:color w:val="auto"/>
                <w:szCs w:val="20"/>
              </w:rPr>
            </w:pPr>
          </w:p>
          <w:p w:rsidR="008F6474" w:rsidRDefault="008F6474" w:rsidP="008F6474">
            <w:pPr>
              <w:pStyle w:val="TableText"/>
              <w:keepNext w:val="0"/>
              <w:spacing w:before="0" w:after="0"/>
              <w:jc w:val="both"/>
              <w:rPr>
                <w:rFonts w:ascii="Arial" w:hAnsi="Arial" w:cs="Arial"/>
                <w:color w:val="auto"/>
                <w:szCs w:val="20"/>
              </w:rPr>
            </w:pPr>
            <w:r>
              <w:rPr>
                <w:rFonts w:ascii="Arial" w:hAnsi="Arial" w:cs="Arial"/>
                <w:color w:val="auto"/>
                <w:szCs w:val="20"/>
              </w:rPr>
              <w:t>Pharmaceutical Society of Australia</w:t>
            </w:r>
          </w:p>
          <w:p w:rsidR="001F63F8" w:rsidRDefault="008F6474" w:rsidP="008F6474">
            <w:pPr>
              <w:pStyle w:val="TableText"/>
              <w:keepNext w:val="0"/>
              <w:spacing w:before="0" w:after="0"/>
              <w:jc w:val="both"/>
              <w:rPr>
                <w:rFonts w:ascii="Arial" w:hAnsi="Arial" w:cs="Arial"/>
                <w:color w:val="auto"/>
                <w:szCs w:val="20"/>
              </w:rPr>
            </w:pPr>
            <w:r>
              <w:rPr>
                <w:rFonts w:ascii="Arial" w:hAnsi="Arial" w:cs="Arial"/>
                <w:color w:val="auto"/>
                <w:szCs w:val="20"/>
              </w:rPr>
              <w:t>(Chief Executive Officer: Dr Lance Emerson)</w:t>
            </w: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2B2C45" w:rsidRDefault="002B2C45" w:rsidP="008F6474">
            <w:pPr>
              <w:pStyle w:val="TableText"/>
              <w:keepNext w:val="0"/>
              <w:spacing w:before="0" w:after="0"/>
              <w:jc w:val="both"/>
              <w:rPr>
                <w:rFonts w:ascii="Arial" w:hAnsi="Arial" w:cs="Arial"/>
                <w:color w:val="auto"/>
                <w:szCs w:val="20"/>
              </w:rPr>
            </w:pPr>
          </w:p>
          <w:p w:rsidR="008F6474" w:rsidRDefault="008F6474" w:rsidP="008F6474">
            <w:pPr>
              <w:pStyle w:val="TableText"/>
              <w:keepNext w:val="0"/>
              <w:spacing w:before="0" w:after="0"/>
              <w:jc w:val="both"/>
              <w:rPr>
                <w:rFonts w:ascii="Arial" w:hAnsi="Arial" w:cs="Arial"/>
                <w:color w:val="auto"/>
                <w:szCs w:val="20"/>
              </w:rPr>
            </w:pPr>
            <w:r>
              <w:rPr>
                <w:rFonts w:ascii="Arial" w:hAnsi="Arial" w:cs="Arial"/>
                <w:color w:val="auto"/>
                <w:szCs w:val="20"/>
              </w:rPr>
              <w:t>Kay Sorimachi</w:t>
            </w:r>
          </w:p>
          <w:p w:rsidR="001F586B" w:rsidRDefault="001F586B" w:rsidP="001F586B">
            <w:pPr>
              <w:pStyle w:val="TableText"/>
              <w:keepNext w:val="0"/>
              <w:spacing w:before="0" w:after="0"/>
              <w:jc w:val="both"/>
              <w:rPr>
                <w:rFonts w:ascii="Arial" w:hAnsi="Arial" w:cs="Arial"/>
                <w:color w:val="auto"/>
                <w:szCs w:val="20"/>
              </w:rPr>
            </w:pPr>
            <w:r>
              <w:rPr>
                <w:rFonts w:ascii="Arial" w:hAnsi="Arial" w:cs="Arial"/>
                <w:color w:val="auto"/>
                <w:szCs w:val="20"/>
                <w:highlight w:val="black"/>
              </w:rPr>
              <w:t>[content redacted]</w:t>
            </w:r>
          </w:p>
          <w:p w:rsidR="0071260D" w:rsidRPr="00E8412E" w:rsidRDefault="0071260D" w:rsidP="001F586B">
            <w:pPr>
              <w:pStyle w:val="TableText"/>
              <w:keepNext w:val="0"/>
              <w:spacing w:before="0" w:after="0"/>
              <w:jc w:val="both"/>
              <w:rPr>
                <w:rFonts w:ascii="Arial" w:hAnsi="Arial" w:cs="Arial"/>
                <w:color w:val="auto"/>
                <w:szCs w:val="20"/>
              </w:rPr>
            </w:pPr>
          </w:p>
        </w:tc>
      </w:tr>
    </w:tbl>
    <w:p w:rsidR="00A43430" w:rsidRPr="00E8412E" w:rsidRDefault="00547923" w:rsidP="0071260D">
      <w:pPr>
        <w:pStyle w:val="AHPRASubhead"/>
        <w:spacing w:before="200"/>
        <w:jc w:val="both"/>
      </w:pPr>
      <w:r>
        <w:t>Your r</w:t>
      </w:r>
      <w:r w:rsidR="00A43430">
        <w:t xml:space="preserve">esponses to consultation questions </w:t>
      </w:r>
      <w:r w:rsidR="004E13C1">
        <w:t xml:space="preserve">on the draft </w:t>
      </w:r>
      <w:r w:rsidR="00B65321">
        <w:rPr>
          <w:i/>
        </w:rPr>
        <w:t>Professional practice profile for pharmacists undertaking complex compounding</w:t>
      </w:r>
    </w:p>
    <w:tbl>
      <w:tblPr>
        <w:tblStyle w:val="TableGrid"/>
        <w:tblW w:w="4942" w:type="pct"/>
        <w:tblInd w:w="108" w:type="dxa"/>
        <w:tblLook w:val="04A0" w:firstRow="1" w:lastRow="0" w:firstColumn="1" w:lastColumn="0" w:noHBand="0" w:noVBand="1"/>
      </w:tblPr>
      <w:tblGrid>
        <w:gridCol w:w="9135"/>
      </w:tblGrid>
      <w:tr w:rsidR="00547923" w:rsidRPr="0093789E" w:rsidTr="00547923">
        <w:tc>
          <w:tcPr>
            <w:tcW w:w="5000" w:type="pct"/>
            <w:shd w:val="clear" w:color="auto" w:fill="DAEEF3" w:themeFill="accent5" w:themeFillTint="33"/>
          </w:tcPr>
          <w:p w:rsidR="00F65455"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Does the draft practice profile clearly explain its purpose, and how it should be used</w:t>
            </w:r>
            <w:r w:rsidR="00511339">
              <w:rPr>
                <w:rFonts w:ascii="Arial" w:hAnsi="Arial" w:cs="Arial"/>
                <w:szCs w:val="20"/>
              </w:rPr>
              <w:t xml:space="preserve"> in relation to complex compounding</w:t>
            </w:r>
            <w:r>
              <w:rPr>
                <w:rFonts w:ascii="Arial" w:hAnsi="Arial" w:cs="Arial"/>
                <w:szCs w:val="20"/>
              </w:rPr>
              <w:t>?</w:t>
            </w:r>
          </w:p>
        </w:tc>
      </w:tr>
      <w:tr w:rsidR="00547923" w:rsidRPr="00B12E0A" w:rsidTr="00547923">
        <w:tc>
          <w:tcPr>
            <w:tcW w:w="5000" w:type="pct"/>
          </w:tcPr>
          <w:p w:rsidR="0014334D" w:rsidRDefault="0014334D" w:rsidP="0014334D">
            <w:pPr>
              <w:pStyle w:val="TableText"/>
              <w:keepNext w:val="0"/>
              <w:spacing w:before="0" w:after="0"/>
              <w:rPr>
                <w:rFonts w:ascii="Arial" w:hAnsi="Arial" w:cs="Arial"/>
                <w:color w:val="auto"/>
                <w:szCs w:val="20"/>
              </w:rPr>
            </w:pPr>
          </w:p>
          <w:p w:rsidR="00DB472B" w:rsidRDefault="0014334D" w:rsidP="0014334D">
            <w:pPr>
              <w:pStyle w:val="TableText"/>
              <w:keepNext w:val="0"/>
              <w:spacing w:before="0" w:after="0"/>
              <w:rPr>
                <w:rFonts w:ascii="Arial" w:hAnsi="Arial" w:cs="Arial"/>
                <w:color w:val="auto"/>
                <w:szCs w:val="20"/>
              </w:rPr>
            </w:pPr>
            <w:r>
              <w:rPr>
                <w:rFonts w:ascii="Arial" w:hAnsi="Arial" w:cs="Arial"/>
                <w:color w:val="auto"/>
                <w:szCs w:val="20"/>
              </w:rPr>
              <w:t>The draft professional practice profile</w:t>
            </w:r>
            <w:r w:rsidR="00B3614E">
              <w:rPr>
                <w:rFonts w:ascii="Arial" w:hAnsi="Arial" w:cs="Arial"/>
                <w:color w:val="auto"/>
                <w:szCs w:val="20"/>
              </w:rPr>
              <w:t xml:space="preserve"> (the ‘Profile’)</w:t>
            </w:r>
            <w:r>
              <w:rPr>
                <w:rFonts w:ascii="Arial" w:hAnsi="Arial" w:cs="Arial"/>
                <w:color w:val="auto"/>
                <w:szCs w:val="20"/>
              </w:rPr>
              <w:t xml:space="preserve"> is useful overall to assist pharmacists undertaking, or planning to undertake, complex compounding.</w:t>
            </w:r>
            <w:r w:rsidR="00DB472B">
              <w:rPr>
                <w:rFonts w:ascii="Arial" w:hAnsi="Arial" w:cs="Arial"/>
                <w:color w:val="auto"/>
                <w:szCs w:val="20"/>
              </w:rPr>
              <w:t xml:space="preserve">  Having the template is likely to be welcomed by practitioners and training providers and help facilitate a common understanding of competency requirements for complex compounding.</w:t>
            </w:r>
          </w:p>
          <w:p w:rsidR="00B3614E" w:rsidRDefault="00B3614E" w:rsidP="0014334D">
            <w:pPr>
              <w:pStyle w:val="TableText"/>
              <w:keepNext w:val="0"/>
              <w:spacing w:before="0" w:after="0"/>
              <w:rPr>
                <w:rFonts w:ascii="Arial" w:hAnsi="Arial" w:cs="Arial"/>
                <w:color w:val="auto"/>
                <w:szCs w:val="20"/>
              </w:rPr>
            </w:pPr>
          </w:p>
          <w:p w:rsidR="00B3614E" w:rsidRDefault="00B3614E" w:rsidP="0044168E">
            <w:pPr>
              <w:pStyle w:val="TableText"/>
              <w:keepNext w:val="0"/>
              <w:spacing w:before="0" w:after="0"/>
              <w:rPr>
                <w:rFonts w:ascii="Arial" w:hAnsi="Arial" w:cs="Arial"/>
                <w:color w:val="auto"/>
                <w:szCs w:val="20"/>
              </w:rPr>
            </w:pPr>
            <w:r>
              <w:rPr>
                <w:rFonts w:ascii="Arial" w:hAnsi="Arial" w:cs="Arial"/>
                <w:color w:val="auto"/>
                <w:szCs w:val="20"/>
              </w:rPr>
              <w:t xml:space="preserve">An explanation is provided in the ‘Introduction’ (p. 8) that the Profile is intended “to show the behaviour expected of a competent pharmacist whose professional function is to undertake complex compounding”.  </w:t>
            </w:r>
            <w:r w:rsidR="00DB472B">
              <w:rPr>
                <w:rFonts w:ascii="Arial" w:hAnsi="Arial" w:cs="Arial"/>
                <w:color w:val="auto"/>
                <w:szCs w:val="20"/>
              </w:rPr>
              <w:t>PSA believes it would be helpful to insert the word “sole” before “professional function” to mirror the statement in paragraph 8 (p. 3) of the consultation background.</w:t>
            </w:r>
            <w:r w:rsidR="002C0411">
              <w:rPr>
                <w:rFonts w:ascii="Arial" w:hAnsi="Arial" w:cs="Arial"/>
                <w:color w:val="auto"/>
                <w:szCs w:val="20"/>
              </w:rPr>
              <w:t xml:space="preserve">  This would </w:t>
            </w:r>
            <w:r w:rsidR="00BF0932">
              <w:rPr>
                <w:rFonts w:ascii="Arial" w:hAnsi="Arial" w:cs="Arial"/>
                <w:color w:val="auto"/>
                <w:szCs w:val="20"/>
              </w:rPr>
              <w:br/>
            </w:r>
            <w:r w:rsidR="00BF0932">
              <w:rPr>
                <w:rFonts w:ascii="Arial" w:hAnsi="Arial" w:cs="Arial"/>
                <w:color w:val="auto"/>
                <w:szCs w:val="20"/>
              </w:rPr>
              <w:br/>
            </w:r>
            <w:r w:rsidR="00BF0932">
              <w:rPr>
                <w:rFonts w:ascii="Arial" w:hAnsi="Arial" w:cs="Arial"/>
                <w:color w:val="auto"/>
                <w:szCs w:val="20"/>
              </w:rPr>
              <w:lastRenderedPageBreak/>
              <w:br/>
            </w:r>
            <w:r w:rsidR="002C0411">
              <w:rPr>
                <w:rFonts w:ascii="Arial" w:hAnsi="Arial" w:cs="Arial"/>
                <w:color w:val="auto"/>
                <w:szCs w:val="20"/>
              </w:rPr>
              <w:t>then also supplement paragraph 15 (p. 8) which outlines practice profile requirements of</w:t>
            </w:r>
            <w:r w:rsidR="00AB2684">
              <w:rPr>
                <w:rFonts w:ascii="Arial" w:hAnsi="Arial" w:cs="Arial"/>
                <w:color w:val="auto"/>
                <w:szCs w:val="20"/>
              </w:rPr>
              <w:t xml:space="preserve"> a</w:t>
            </w:r>
            <w:r w:rsidR="002C0411">
              <w:rPr>
                <w:rFonts w:ascii="Arial" w:hAnsi="Arial" w:cs="Arial"/>
                <w:color w:val="auto"/>
                <w:szCs w:val="20"/>
              </w:rPr>
              <w:t xml:space="preserve"> </w:t>
            </w:r>
            <w:r w:rsidR="00AB2684">
              <w:rPr>
                <w:rFonts w:ascii="Arial" w:hAnsi="Arial" w:cs="Arial"/>
                <w:color w:val="auto"/>
                <w:szCs w:val="20"/>
              </w:rPr>
              <w:t>pharmacist</w:t>
            </w:r>
            <w:r w:rsidR="002C0411">
              <w:rPr>
                <w:rFonts w:ascii="Arial" w:hAnsi="Arial" w:cs="Arial"/>
                <w:color w:val="auto"/>
                <w:szCs w:val="20"/>
              </w:rPr>
              <w:t xml:space="preserve"> whose scope of practice is broader than just complex compounding.</w:t>
            </w:r>
          </w:p>
          <w:p w:rsidR="00AB2684" w:rsidRDefault="00AB2684" w:rsidP="0014334D">
            <w:pPr>
              <w:pStyle w:val="TableText"/>
              <w:keepNext w:val="0"/>
              <w:spacing w:before="0" w:after="0"/>
              <w:rPr>
                <w:rFonts w:ascii="Arial" w:hAnsi="Arial" w:cs="Arial"/>
                <w:color w:val="auto"/>
                <w:szCs w:val="20"/>
              </w:rPr>
            </w:pPr>
          </w:p>
          <w:p w:rsidR="00AB2684" w:rsidRDefault="00AB2684" w:rsidP="0014334D">
            <w:pPr>
              <w:pStyle w:val="TableText"/>
              <w:keepNext w:val="0"/>
              <w:spacing w:before="0" w:after="0"/>
              <w:rPr>
                <w:rFonts w:ascii="Arial" w:hAnsi="Arial" w:cs="Arial"/>
                <w:color w:val="auto"/>
                <w:szCs w:val="20"/>
              </w:rPr>
            </w:pPr>
            <w:r>
              <w:rPr>
                <w:rFonts w:ascii="Arial" w:hAnsi="Arial" w:cs="Arial"/>
                <w:color w:val="auto"/>
                <w:szCs w:val="20"/>
              </w:rPr>
              <w:t xml:space="preserve">The notion that a pharmacist “extends” their scope of practice when </w:t>
            </w:r>
            <w:r w:rsidR="00D43FB6">
              <w:rPr>
                <w:rFonts w:ascii="Arial" w:hAnsi="Arial" w:cs="Arial"/>
                <w:color w:val="auto"/>
                <w:szCs w:val="20"/>
              </w:rPr>
              <w:t xml:space="preserve">initially </w:t>
            </w:r>
            <w:r>
              <w:rPr>
                <w:rFonts w:ascii="Arial" w:hAnsi="Arial" w:cs="Arial"/>
                <w:color w:val="auto"/>
                <w:szCs w:val="20"/>
              </w:rPr>
              <w:t xml:space="preserve">including complex compounding is mentioned in </w:t>
            </w:r>
            <w:r w:rsidR="00D43FB6">
              <w:rPr>
                <w:rFonts w:ascii="Arial" w:hAnsi="Arial" w:cs="Arial"/>
                <w:color w:val="auto"/>
                <w:szCs w:val="20"/>
              </w:rPr>
              <w:t xml:space="preserve">the consultation overview under </w:t>
            </w:r>
            <w:r>
              <w:rPr>
                <w:rFonts w:ascii="Arial" w:hAnsi="Arial" w:cs="Arial"/>
                <w:color w:val="auto"/>
                <w:szCs w:val="20"/>
              </w:rPr>
              <w:t xml:space="preserve">paragraphs 7 (p. 3) and 9 (p. 4).  PSA believes this concept is </w:t>
            </w:r>
            <w:r w:rsidR="00D43FB6">
              <w:rPr>
                <w:rFonts w:ascii="Arial" w:hAnsi="Arial" w:cs="Arial"/>
                <w:color w:val="auto"/>
                <w:szCs w:val="20"/>
              </w:rPr>
              <w:t xml:space="preserve">generally </w:t>
            </w:r>
            <w:r>
              <w:rPr>
                <w:rFonts w:ascii="Arial" w:hAnsi="Arial" w:cs="Arial"/>
                <w:color w:val="auto"/>
                <w:szCs w:val="20"/>
              </w:rPr>
              <w:t xml:space="preserve">not </w:t>
            </w:r>
            <w:r w:rsidR="00D43FB6">
              <w:rPr>
                <w:rFonts w:ascii="Arial" w:hAnsi="Arial" w:cs="Arial"/>
                <w:color w:val="auto"/>
                <w:szCs w:val="20"/>
              </w:rPr>
              <w:t xml:space="preserve">well </w:t>
            </w:r>
            <w:r>
              <w:rPr>
                <w:rFonts w:ascii="Arial" w:hAnsi="Arial" w:cs="Arial"/>
                <w:color w:val="auto"/>
                <w:szCs w:val="20"/>
              </w:rPr>
              <w:t>understood by pharmacists and therefore should also be included explicitly in the introductory section of the Profile</w:t>
            </w:r>
            <w:r w:rsidR="00905B01">
              <w:rPr>
                <w:rFonts w:ascii="Arial" w:hAnsi="Arial" w:cs="Arial"/>
                <w:color w:val="auto"/>
                <w:szCs w:val="20"/>
              </w:rPr>
              <w:t xml:space="preserve"> document.</w:t>
            </w:r>
          </w:p>
          <w:p w:rsidR="0014334D" w:rsidRDefault="0014334D" w:rsidP="0014334D">
            <w:pPr>
              <w:pStyle w:val="TableText"/>
              <w:keepNext w:val="0"/>
              <w:spacing w:before="0" w:after="0"/>
              <w:rPr>
                <w:rFonts w:ascii="Arial" w:hAnsi="Arial" w:cs="Arial"/>
                <w:color w:val="auto"/>
                <w:szCs w:val="20"/>
              </w:rPr>
            </w:pPr>
          </w:p>
          <w:p w:rsidR="00547923" w:rsidRPr="00B12E0A" w:rsidRDefault="0014334D" w:rsidP="00075C71">
            <w:pPr>
              <w:pStyle w:val="TableText"/>
              <w:keepNext w:val="0"/>
              <w:spacing w:before="0" w:after="0"/>
              <w:rPr>
                <w:rFonts w:ascii="Arial" w:hAnsi="Arial" w:cs="Arial"/>
                <w:color w:val="auto"/>
                <w:szCs w:val="20"/>
              </w:rPr>
            </w:pPr>
            <w:r>
              <w:rPr>
                <w:rFonts w:ascii="Arial" w:hAnsi="Arial" w:cs="Arial"/>
                <w:color w:val="auto"/>
                <w:szCs w:val="20"/>
              </w:rPr>
              <w:t>Additional suggested changes to the content</w:t>
            </w:r>
            <w:r w:rsidR="00075C71">
              <w:rPr>
                <w:rFonts w:ascii="Arial" w:hAnsi="Arial" w:cs="Arial"/>
                <w:color w:val="auto"/>
                <w:szCs w:val="20"/>
              </w:rPr>
              <w:t xml:space="preserve"> are provided below under Q. 2.</w:t>
            </w:r>
          </w:p>
          <w:p w:rsidR="00547923" w:rsidRPr="00B12E0A" w:rsidRDefault="00547923" w:rsidP="00547923">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Is there any content that needs to be changed, added or deleted in the draft practice profile</w:t>
            </w:r>
            <w:r w:rsidR="00511339">
              <w:rPr>
                <w:rFonts w:ascii="Arial" w:hAnsi="Arial" w:cs="Arial"/>
                <w:szCs w:val="20"/>
              </w:rPr>
              <w:t xml:space="preserve"> in relation to complex compounding</w:t>
            </w:r>
            <w:r>
              <w:rPr>
                <w:rFonts w:ascii="Arial" w:hAnsi="Arial" w:cs="Arial"/>
                <w:szCs w:val="20"/>
              </w:rPr>
              <w:t>?</w:t>
            </w:r>
          </w:p>
        </w:tc>
      </w:tr>
      <w:tr w:rsidR="00547923" w:rsidRPr="0093789E" w:rsidTr="00547923">
        <w:tc>
          <w:tcPr>
            <w:tcW w:w="5000" w:type="pct"/>
            <w:shd w:val="clear" w:color="auto" w:fill="auto"/>
          </w:tcPr>
          <w:p w:rsidR="0014334D" w:rsidRPr="00C5505E" w:rsidRDefault="0014334D" w:rsidP="0014334D">
            <w:pPr>
              <w:pStyle w:val="TableText"/>
              <w:keepNext w:val="0"/>
              <w:spacing w:before="0" w:after="0"/>
              <w:rPr>
                <w:rFonts w:ascii="Arial" w:hAnsi="Arial" w:cs="Arial"/>
                <w:color w:val="auto"/>
              </w:rPr>
            </w:pPr>
          </w:p>
          <w:p w:rsidR="000E2F77" w:rsidRDefault="000E2F77" w:rsidP="000E2F77">
            <w:pPr>
              <w:pStyle w:val="TableText"/>
              <w:keepNext w:val="0"/>
              <w:spacing w:before="0" w:after="0"/>
              <w:rPr>
                <w:rFonts w:ascii="Arial" w:hAnsi="Arial" w:cs="Arial"/>
                <w:color w:val="auto"/>
              </w:rPr>
            </w:pPr>
            <w:r>
              <w:rPr>
                <w:rFonts w:ascii="Arial" w:hAnsi="Arial" w:cs="Arial"/>
                <w:b/>
                <w:color w:val="auto"/>
              </w:rPr>
              <w:t>Definition</w:t>
            </w:r>
            <w:r>
              <w:rPr>
                <w:rFonts w:ascii="Arial" w:hAnsi="Arial" w:cs="Arial"/>
                <w:b/>
                <w:color w:val="auto"/>
              </w:rPr>
              <w:br/>
            </w:r>
            <w:r w:rsidR="003639F9">
              <w:rPr>
                <w:rFonts w:ascii="Arial" w:hAnsi="Arial" w:cs="Arial"/>
                <w:color w:val="auto"/>
              </w:rPr>
              <w:br/>
            </w:r>
            <w:r w:rsidR="00D43FB6">
              <w:rPr>
                <w:rFonts w:ascii="Arial" w:hAnsi="Arial" w:cs="Arial"/>
                <w:color w:val="auto"/>
              </w:rPr>
              <w:t>We recommend</w:t>
            </w:r>
            <w:r>
              <w:rPr>
                <w:rFonts w:ascii="Arial" w:hAnsi="Arial" w:cs="Arial"/>
                <w:color w:val="auto"/>
              </w:rPr>
              <w:t xml:space="preserve"> inclusion of definitions for both “simple compounding” and “complex compounding” in the introductory section</w:t>
            </w:r>
            <w:r w:rsidR="00D43FB6">
              <w:rPr>
                <w:rFonts w:ascii="Arial" w:hAnsi="Arial" w:cs="Arial"/>
                <w:color w:val="auto"/>
              </w:rPr>
              <w:t xml:space="preserve"> of the Profile document</w:t>
            </w:r>
            <w:r>
              <w:rPr>
                <w:rFonts w:ascii="Arial" w:hAnsi="Arial" w:cs="Arial"/>
                <w:color w:val="auto"/>
              </w:rPr>
              <w:t xml:space="preserve"> for clarification purposes.</w:t>
            </w:r>
          </w:p>
          <w:p w:rsidR="000E2F77" w:rsidRPr="000E2F77" w:rsidRDefault="000E2F77" w:rsidP="000E2F77">
            <w:pPr>
              <w:pStyle w:val="TableText"/>
              <w:keepNext w:val="0"/>
              <w:spacing w:before="0" w:after="0"/>
              <w:rPr>
                <w:rFonts w:ascii="Arial" w:hAnsi="Arial" w:cs="Arial"/>
                <w:color w:val="auto"/>
              </w:rPr>
            </w:pPr>
          </w:p>
          <w:p w:rsidR="000E2F77" w:rsidRPr="00012AB1" w:rsidRDefault="000E2F77" w:rsidP="000E2F77">
            <w:pPr>
              <w:pStyle w:val="TableText"/>
              <w:keepNext w:val="0"/>
              <w:spacing w:before="0" w:after="0"/>
              <w:rPr>
                <w:rFonts w:ascii="Arial" w:hAnsi="Arial" w:cs="Arial"/>
              </w:rPr>
            </w:pPr>
            <w:r>
              <w:rPr>
                <w:rFonts w:ascii="Arial" w:hAnsi="Arial" w:cs="Arial"/>
                <w:b/>
                <w:color w:val="auto"/>
              </w:rPr>
              <w:t>C</w:t>
            </w:r>
            <w:r w:rsidRPr="00D972F7">
              <w:rPr>
                <w:rFonts w:ascii="Arial" w:hAnsi="Arial" w:cs="Arial"/>
                <w:b/>
                <w:color w:val="auto"/>
              </w:rPr>
              <w:t xml:space="preserve">ompounding </w:t>
            </w:r>
            <w:r>
              <w:rPr>
                <w:rFonts w:ascii="Arial" w:hAnsi="Arial" w:cs="Arial"/>
                <w:b/>
                <w:color w:val="auto"/>
              </w:rPr>
              <w:t xml:space="preserve">of </w:t>
            </w:r>
            <w:r w:rsidRPr="00D972F7">
              <w:rPr>
                <w:rFonts w:ascii="Arial" w:hAnsi="Arial" w:cs="Arial"/>
                <w:b/>
                <w:color w:val="auto"/>
              </w:rPr>
              <w:t>veterinary products</w:t>
            </w:r>
            <w:r>
              <w:rPr>
                <w:rFonts w:ascii="Arial" w:hAnsi="Arial" w:cs="Arial"/>
                <w:b/>
                <w:color w:val="auto"/>
              </w:rPr>
              <w:br/>
            </w:r>
            <w:r w:rsidR="003639F9">
              <w:rPr>
                <w:rFonts w:ascii="Arial" w:hAnsi="Arial" w:cs="Arial"/>
                <w:color w:val="auto"/>
              </w:rPr>
              <w:br/>
            </w:r>
            <w:r>
              <w:rPr>
                <w:rFonts w:ascii="Arial" w:hAnsi="Arial" w:cs="Arial"/>
                <w:color w:val="auto"/>
              </w:rPr>
              <w:t>While it is accepted</w:t>
            </w:r>
            <w:r w:rsidR="00D43FB6">
              <w:rPr>
                <w:rFonts w:ascii="Arial" w:hAnsi="Arial" w:cs="Arial"/>
                <w:color w:val="auto"/>
              </w:rPr>
              <w:t xml:space="preserve"> that only a </w:t>
            </w:r>
            <w:r w:rsidR="00D43FB6" w:rsidRPr="00D972F7">
              <w:rPr>
                <w:rFonts w:ascii="Arial" w:hAnsi="Arial" w:cs="Arial"/>
              </w:rPr>
              <w:t>small proportion of pharmacists</w:t>
            </w:r>
            <w:r w:rsidR="00D43FB6">
              <w:rPr>
                <w:rFonts w:ascii="Arial" w:hAnsi="Arial" w:cs="Arial"/>
                <w:color w:val="auto"/>
              </w:rPr>
              <w:t xml:space="preserve"> undertake </w:t>
            </w:r>
            <w:r w:rsidRPr="00D972F7">
              <w:rPr>
                <w:rFonts w:ascii="Arial" w:hAnsi="Arial" w:cs="Arial"/>
              </w:rPr>
              <w:t>compounding of veterinary products</w:t>
            </w:r>
            <w:r w:rsidR="00D43FB6">
              <w:rPr>
                <w:rFonts w:ascii="Arial" w:hAnsi="Arial" w:cs="Arial"/>
              </w:rPr>
              <w:t xml:space="preserve">, PSA noted several additional Evidence Examples relating to this practice would be beneficial.  Pharmacists are, of course, </w:t>
            </w:r>
            <w:r w:rsidR="00012AB1">
              <w:rPr>
                <w:rFonts w:ascii="Arial" w:hAnsi="Arial" w:cs="Arial"/>
              </w:rPr>
              <w:t>responsible for customising their own professional practice profile; however, PSA believes it would be helpful to practitioners and would also provide a more complete document.  Examples where</w:t>
            </w:r>
            <w:r w:rsidR="007A0D9C">
              <w:rPr>
                <w:rFonts w:ascii="Arial" w:hAnsi="Arial" w:cs="Arial"/>
              </w:rPr>
              <w:t xml:space="preserve"> this could be actioned include the following.</w:t>
            </w:r>
            <w:r>
              <w:rPr>
                <w:rFonts w:ascii="Arial" w:hAnsi="Arial" w:cs="Arial"/>
              </w:rPr>
              <w:br/>
            </w:r>
          </w:p>
          <w:p w:rsidR="0091348C" w:rsidRDefault="004219C8" w:rsidP="0091348C">
            <w:pPr>
              <w:pStyle w:val="TableText"/>
              <w:keepNext w:val="0"/>
              <w:numPr>
                <w:ilvl w:val="0"/>
                <w:numId w:val="9"/>
              </w:numPr>
              <w:spacing w:before="0" w:after="0"/>
              <w:rPr>
                <w:rFonts w:ascii="Arial" w:hAnsi="Arial" w:cs="Arial"/>
              </w:rPr>
            </w:pPr>
            <w:r>
              <w:rPr>
                <w:rFonts w:ascii="Arial" w:hAnsi="Arial" w:cs="Arial"/>
              </w:rPr>
              <w:t xml:space="preserve">Standard 1.1 (p. 12) – reference to the </w:t>
            </w:r>
            <w:r w:rsidRPr="000D42DE">
              <w:rPr>
                <w:rFonts w:ascii="Arial" w:hAnsi="Arial" w:cs="Arial"/>
                <w:i/>
              </w:rPr>
              <w:t>Agricultural and Veterinary Chemicals Code Act 1994</w:t>
            </w:r>
            <w:r>
              <w:rPr>
                <w:rFonts w:ascii="Arial" w:hAnsi="Arial" w:cs="Arial"/>
              </w:rPr>
              <w:t xml:space="preserve"> </w:t>
            </w:r>
            <w:r w:rsidR="000D42DE">
              <w:rPr>
                <w:rFonts w:ascii="Arial" w:hAnsi="Arial" w:cs="Arial"/>
              </w:rPr>
              <w:t xml:space="preserve">could be included </w:t>
            </w:r>
            <w:r w:rsidR="0091348C">
              <w:rPr>
                <w:rFonts w:ascii="Arial" w:hAnsi="Arial" w:cs="Arial"/>
              </w:rPr>
              <w:t>under:</w:t>
            </w:r>
            <w:r>
              <w:rPr>
                <w:rFonts w:ascii="Arial" w:hAnsi="Arial" w:cs="Arial"/>
              </w:rPr>
              <w:br/>
            </w:r>
          </w:p>
          <w:p w:rsidR="0091348C" w:rsidRDefault="0091348C" w:rsidP="0091348C">
            <w:pPr>
              <w:pStyle w:val="TableText"/>
              <w:keepNext w:val="0"/>
              <w:numPr>
                <w:ilvl w:val="1"/>
                <w:numId w:val="9"/>
              </w:numPr>
              <w:spacing w:before="0" w:after="0"/>
              <w:rPr>
                <w:rFonts w:ascii="Arial" w:hAnsi="Arial" w:cs="Arial"/>
              </w:rPr>
            </w:pPr>
            <w:r>
              <w:rPr>
                <w:rFonts w:ascii="Arial" w:hAnsi="Arial" w:cs="Arial"/>
              </w:rPr>
              <w:t xml:space="preserve">Element 1, Performance Criterion 1, second Evidence Example; and/or </w:t>
            </w:r>
            <w:r>
              <w:rPr>
                <w:rFonts w:ascii="Arial" w:hAnsi="Arial" w:cs="Arial"/>
              </w:rPr>
              <w:br/>
            </w:r>
          </w:p>
          <w:p w:rsidR="0091348C" w:rsidRPr="0091348C" w:rsidRDefault="0091348C" w:rsidP="0091348C">
            <w:pPr>
              <w:pStyle w:val="TableText"/>
              <w:keepNext w:val="0"/>
              <w:numPr>
                <w:ilvl w:val="1"/>
                <w:numId w:val="9"/>
              </w:numPr>
              <w:spacing w:before="0" w:after="0"/>
              <w:rPr>
                <w:rFonts w:ascii="Arial" w:hAnsi="Arial" w:cs="Arial"/>
              </w:rPr>
            </w:pPr>
            <w:r>
              <w:rPr>
                <w:rFonts w:ascii="Arial" w:hAnsi="Arial" w:cs="Arial"/>
              </w:rPr>
              <w:t>footnote 5.</w:t>
            </w:r>
          </w:p>
          <w:p w:rsidR="004219C8" w:rsidRDefault="004219C8" w:rsidP="0091348C">
            <w:pPr>
              <w:pStyle w:val="TableText"/>
              <w:keepNext w:val="0"/>
              <w:spacing w:before="0" w:after="0"/>
              <w:rPr>
                <w:rFonts w:ascii="Arial" w:hAnsi="Arial" w:cs="Arial"/>
              </w:rPr>
            </w:pPr>
          </w:p>
          <w:p w:rsidR="0091348C" w:rsidRPr="0091348C" w:rsidRDefault="00012AB1" w:rsidP="0091348C">
            <w:pPr>
              <w:pStyle w:val="TableText"/>
              <w:keepNext w:val="0"/>
              <w:numPr>
                <w:ilvl w:val="0"/>
                <w:numId w:val="9"/>
              </w:numPr>
              <w:spacing w:before="0" w:after="0"/>
              <w:rPr>
                <w:rFonts w:ascii="Arial" w:hAnsi="Arial" w:cs="Arial"/>
                <w:b/>
              </w:rPr>
            </w:pPr>
            <w:r>
              <w:rPr>
                <w:rFonts w:ascii="Arial" w:hAnsi="Arial" w:cs="Arial"/>
              </w:rPr>
              <w:t xml:space="preserve">Standard 5.1, Element 1, </w:t>
            </w:r>
            <w:r w:rsidR="00BD1EE5">
              <w:rPr>
                <w:rFonts w:ascii="Arial" w:hAnsi="Arial" w:cs="Arial"/>
              </w:rPr>
              <w:t xml:space="preserve">Evidence Example for </w:t>
            </w:r>
            <w:r>
              <w:rPr>
                <w:rFonts w:ascii="Arial" w:hAnsi="Arial" w:cs="Arial"/>
              </w:rPr>
              <w:t>Performance Criterion 3</w:t>
            </w:r>
            <w:r w:rsidR="00BD1EE5">
              <w:rPr>
                <w:rFonts w:ascii="Arial" w:hAnsi="Arial" w:cs="Arial"/>
              </w:rPr>
              <w:t xml:space="preserve"> (p. 31)</w:t>
            </w:r>
            <w:r>
              <w:rPr>
                <w:rFonts w:ascii="Arial" w:hAnsi="Arial" w:cs="Arial"/>
              </w:rPr>
              <w:t xml:space="preserve"> – include reference to the Australian </w:t>
            </w:r>
            <w:r w:rsidR="00BD1EE5">
              <w:rPr>
                <w:rFonts w:ascii="Arial" w:hAnsi="Arial" w:cs="Arial"/>
              </w:rPr>
              <w:t>Pesticides and Veterinary Medicines Authority alongside the Therapeutic Goods Administration and the Health Department.</w:t>
            </w:r>
          </w:p>
          <w:p w:rsidR="00D43FB6" w:rsidRPr="000E2F77" w:rsidRDefault="00D43FB6" w:rsidP="00D43FB6">
            <w:pPr>
              <w:pStyle w:val="TableText"/>
              <w:keepNext w:val="0"/>
              <w:spacing w:before="0" w:after="0"/>
              <w:rPr>
                <w:rFonts w:ascii="Arial" w:hAnsi="Arial" w:cs="Arial"/>
                <w:color w:val="auto"/>
              </w:rPr>
            </w:pPr>
          </w:p>
          <w:p w:rsidR="007A44DF" w:rsidRDefault="00E268EF" w:rsidP="00D43FB6">
            <w:pPr>
              <w:pStyle w:val="TableText"/>
              <w:keepNext w:val="0"/>
              <w:spacing w:before="0" w:after="0"/>
              <w:rPr>
                <w:rFonts w:ascii="Arial" w:hAnsi="Arial" w:cs="Arial"/>
                <w:color w:val="auto"/>
              </w:rPr>
            </w:pPr>
            <w:r>
              <w:rPr>
                <w:rFonts w:ascii="Arial" w:hAnsi="Arial" w:cs="Arial"/>
                <w:b/>
                <w:color w:val="auto"/>
              </w:rPr>
              <w:t>Standards 7.1 and 7.2</w:t>
            </w:r>
            <w:r w:rsidR="003639F9">
              <w:rPr>
                <w:rFonts w:ascii="Arial" w:hAnsi="Arial" w:cs="Arial"/>
                <w:b/>
                <w:color w:val="auto"/>
              </w:rPr>
              <w:br/>
            </w:r>
            <w:r w:rsidR="00D43FB6">
              <w:rPr>
                <w:rFonts w:ascii="Arial" w:hAnsi="Arial" w:cs="Arial"/>
                <w:b/>
                <w:color w:val="auto"/>
              </w:rPr>
              <w:br/>
            </w:r>
            <w:r w:rsidR="00E65D5F">
              <w:rPr>
                <w:rFonts w:ascii="Arial" w:hAnsi="Arial" w:cs="Arial"/>
                <w:color w:val="auto"/>
              </w:rPr>
              <w:t>We believe that Standards 7.1 (</w:t>
            </w:r>
            <w:r w:rsidR="00E65D5F" w:rsidRPr="005B69C5">
              <w:rPr>
                <w:rFonts w:ascii="Arial" w:hAnsi="Arial" w:cs="Arial"/>
                <w:i/>
                <w:color w:val="auto"/>
              </w:rPr>
              <w:t>Contribute to therapeutic decision-making</w:t>
            </w:r>
            <w:r w:rsidR="00E65D5F">
              <w:rPr>
                <w:rFonts w:ascii="Arial" w:hAnsi="Arial" w:cs="Arial"/>
                <w:color w:val="auto"/>
              </w:rPr>
              <w:t>) and 7.2 (</w:t>
            </w:r>
            <w:r w:rsidR="00E65D5F" w:rsidRPr="005B69C5">
              <w:rPr>
                <w:rFonts w:ascii="Arial" w:hAnsi="Arial" w:cs="Arial"/>
                <w:i/>
                <w:color w:val="auto"/>
              </w:rPr>
              <w:t>Provide ongoing medication management</w:t>
            </w:r>
            <w:r w:rsidR="00E65D5F">
              <w:rPr>
                <w:rFonts w:ascii="Arial" w:hAnsi="Arial" w:cs="Arial"/>
                <w:color w:val="auto"/>
              </w:rPr>
              <w:t xml:space="preserve">) should be included in the Profile.  Although it might be reasonable </w:t>
            </w:r>
            <w:r w:rsidR="000A26E4">
              <w:rPr>
                <w:rFonts w:ascii="Arial" w:hAnsi="Arial" w:cs="Arial"/>
                <w:color w:val="auto"/>
              </w:rPr>
              <w:t>to expect</w:t>
            </w:r>
            <w:r w:rsidR="00E65D5F">
              <w:rPr>
                <w:rFonts w:ascii="Arial" w:hAnsi="Arial" w:cs="Arial"/>
                <w:color w:val="auto"/>
              </w:rPr>
              <w:t xml:space="preserve"> a pharmacist to include these Standards when building their own Profile, PSA believes they are fundamental to the provision of complex compounding services and </w:t>
            </w:r>
            <w:r w:rsidR="002C6279">
              <w:rPr>
                <w:rFonts w:ascii="Arial" w:hAnsi="Arial" w:cs="Arial"/>
                <w:color w:val="auto"/>
              </w:rPr>
              <w:t>appropriate</w:t>
            </w:r>
            <w:r w:rsidR="003639F9">
              <w:rPr>
                <w:rFonts w:ascii="Arial" w:hAnsi="Arial" w:cs="Arial"/>
                <w:color w:val="auto"/>
              </w:rPr>
              <w:t xml:space="preserve"> for inclusion</w:t>
            </w:r>
            <w:r w:rsidR="002C6279">
              <w:rPr>
                <w:rFonts w:ascii="Arial" w:hAnsi="Arial" w:cs="Arial"/>
                <w:color w:val="auto"/>
              </w:rPr>
              <w:t xml:space="preserve"> given the scope and purpose of the Board’s document</w:t>
            </w:r>
            <w:r w:rsidR="00AB72D9">
              <w:rPr>
                <w:rFonts w:ascii="Arial" w:hAnsi="Arial" w:cs="Arial"/>
                <w:color w:val="auto"/>
              </w:rPr>
              <w:t xml:space="preserve"> (e.g. as explained under paragraph 25 on p. 10)</w:t>
            </w:r>
            <w:r w:rsidR="002C6279">
              <w:rPr>
                <w:rFonts w:ascii="Arial" w:hAnsi="Arial" w:cs="Arial"/>
                <w:color w:val="auto"/>
              </w:rPr>
              <w:t>.</w:t>
            </w:r>
            <w:r w:rsidR="003639F9">
              <w:rPr>
                <w:rFonts w:ascii="Arial" w:hAnsi="Arial" w:cs="Arial"/>
                <w:color w:val="auto"/>
              </w:rPr>
              <w:br/>
            </w:r>
            <w:r w:rsidR="003639F9">
              <w:rPr>
                <w:rFonts w:ascii="Arial" w:hAnsi="Arial" w:cs="Arial"/>
                <w:color w:val="auto"/>
              </w:rPr>
              <w:br/>
            </w:r>
            <w:r w:rsidR="007A44DF">
              <w:rPr>
                <w:rFonts w:ascii="Arial" w:hAnsi="Arial" w:cs="Arial"/>
                <w:color w:val="auto"/>
              </w:rPr>
              <w:t>Not all Elements and/or Performance Criteria under Standards 7.1 and 7.2</w:t>
            </w:r>
            <w:r w:rsidR="000A26E4">
              <w:rPr>
                <w:rFonts w:ascii="Arial" w:hAnsi="Arial" w:cs="Arial"/>
                <w:color w:val="auto"/>
              </w:rPr>
              <w:t>, however,</w:t>
            </w:r>
            <w:r w:rsidR="007A44DF">
              <w:rPr>
                <w:rFonts w:ascii="Arial" w:hAnsi="Arial" w:cs="Arial"/>
                <w:color w:val="auto"/>
              </w:rPr>
              <w:t xml:space="preserve"> would be relev</w:t>
            </w:r>
            <w:r w:rsidR="00CB2EE4">
              <w:rPr>
                <w:rFonts w:ascii="Arial" w:hAnsi="Arial" w:cs="Arial"/>
                <w:color w:val="auto"/>
              </w:rPr>
              <w:t>ant</w:t>
            </w:r>
            <w:r w:rsidR="000A26E4">
              <w:rPr>
                <w:rFonts w:ascii="Arial" w:hAnsi="Arial" w:cs="Arial"/>
                <w:color w:val="auto"/>
              </w:rPr>
              <w:t>.  T</w:t>
            </w:r>
            <w:r w:rsidR="00CB2EE4">
              <w:rPr>
                <w:rFonts w:ascii="Arial" w:hAnsi="Arial" w:cs="Arial"/>
                <w:color w:val="auto"/>
              </w:rPr>
              <w:t>hose around, for example, having a team-based approach to care or prov</w:t>
            </w:r>
            <w:r w:rsidR="003639F9">
              <w:rPr>
                <w:rFonts w:ascii="Arial" w:hAnsi="Arial" w:cs="Arial"/>
                <w:color w:val="auto"/>
              </w:rPr>
              <w:t>id</w:t>
            </w:r>
            <w:r w:rsidR="00CB2EE4">
              <w:rPr>
                <w:rFonts w:ascii="Arial" w:hAnsi="Arial" w:cs="Arial"/>
                <w:color w:val="auto"/>
              </w:rPr>
              <w:t>ing follow-up and ongoing care are likely to be relevant to complex compounding services.</w:t>
            </w:r>
          </w:p>
          <w:p w:rsidR="0014334D" w:rsidRDefault="0014334D" w:rsidP="00547923">
            <w:pPr>
              <w:pStyle w:val="TableText"/>
              <w:keepNext w:val="0"/>
              <w:spacing w:before="0" w:after="0"/>
              <w:jc w:val="both"/>
              <w:rPr>
                <w:rFonts w:ascii="Arial" w:hAnsi="Arial" w:cs="Arial"/>
                <w:color w:val="auto"/>
              </w:rPr>
            </w:pPr>
          </w:p>
          <w:p w:rsidR="000E2F77" w:rsidRPr="00D972F7" w:rsidRDefault="000E2F77" w:rsidP="000E2F77">
            <w:pPr>
              <w:pStyle w:val="TableText"/>
              <w:keepNext w:val="0"/>
              <w:spacing w:before="0" w:after="0"/>
              <w:rPr>
                <w:rFonts w:ascii="Arial" w:hAnsi="Arial" w:cs="Arial"/>
                <w:b/>
                <w:color w:val="auto"/>
              </w:rPr>
            </w:pPr>
            <w:r>
              <w:rPr>
                <w:rFonts w:ascii="Arial" w:hAnsi="Arial" w:cs="Arial"/>
                <w:b/>
                <w:color w:val="auto"/>
              </w:rPr>
              <w:t>Typographical changes</w:t>
            </w:r>
            <w:r>
              <w:rPr>
                <w:rFonts w:ascii="Arial" w:hAnsi="Arial" w:cs="Arial"/>
                <w:b/>
                <w:color w:val="auto"/>
              </w:rPr>
              <w:br/>
            </w:r>
          </w:p>
          <w:p w:rsidR="00DA54A3" w:rsidRDefault="00DA54A3" w:rsidP="000E2F77">
            <w:pPr>
              <w:pStyle w:val="TableText"/>
              <w:keepNext w:val="0"/>
              <w:numPr>
                <w:ilvl w:val="0"/>
                <w:numId w:val="9"/>
              </w:numPr>
              <w:spacing w:before="0" w:after="0"/>
              <w:rPr>
                <w:rFonts w:ascii="Arial" w:hAnsi="Arial" w:cs="Arial"/>
              </w:rPr>
            </w:pPr>
            <w:r>
              <w:rPr>
                <w:rFonts w:ascii="Arial" w:hAnsi="Arial" w:cs="Arial"/>
              </w:rPr>
              <w:t>p. 12, footnote, fourth bullet point – “</w:t>
            </w:r>
            <w:r w:rsidRPr="00DA54A3">
              <w:rPr>
                <w:rFonts w:ascii="Arial" w:hAnsi="Arial" w:cs="Arial"/>
                <w:i/>
              </w:rPr>
              <w:t>195.3</w:t>
            </w:r>
            <w:r>
              <w:rPr>
                <w:rFonts w:ascii="Arial" w:hAnsi="Arial" w:cs="Arial"/>
              </w:rPr>
              <w:t>” should read “</w:t>
            </w:r>
            <w:r w:rsidRPr="00DA54A3">
              <w:rPr>
                <w:rFonts w:ascii="Arial" w:hAnsi="Arial" w:cs="Arial"/>
                <w:i/>
              </w:rPr>
              <w:t>1953.</w:t>
            </w:r>
            <w:r>
              <w:rPr>
                <w:rFonts w:ascii="Arial" w:hAnsi="Arial" w:cs="Arial"/>
              </w:rPr>
              <w:t>”.</w:t>
            </w:r>
            <w:r>
              <w:rPr>
                <w:rFonts w:ascii="Arial" w:hAnsi="Arial" w:cs="Arial"/>
              </w:rPr>
              <w:br/>
            </w:r>
          </w:p>
          <w:p w:rsidR="00DA54A3" w:rsidRDefault="00DA54A3" w:rsidP="000E2F77">
            <w:pPr>
              <w:pStyle w:val="TableText"/>
              <w:keepNext w:val="0"/>
              <w:numPr>
                <w:ilvl w:val="0"/>
                <w:numId w:val="9"/>
              </w:numPr>
              <w:spacing w:before="0" w:after="0"/>
              <w:rPr>
                <w:rFonts w:ascii="Arial" w:hAnsi="Arial" w:cs="Arial"/>
              </w:rPr>
            </w:pPr>
            <w:r>
              <w:rPr>
                <w:rFonts w:ascii="Arial" w:hAnsi="Arial" w:cs="Arial"/>
              </w:rPr>
              <w:t xml:space="preserve">p. 19, Element 2, Performance Criterion 2, first Evidence Example – “demonstrated” should read “demonstrate”. </w:t>
            </w:r>
            <w:r>
              <w:rPr>
                <w:rFonts w:ascii="Arial" w:hAnsi="Arial" w:cs="Arial"/>
              </w:rPr>
              <w:br/>
            </w:r>
          </w:p>
          <w:p w:rsidR="004219C8" w:rsidRDefault="004219C8" w:rsidP="000E2F77">
            <w:pPr>
              <w:pStyle w:val="TableText"/>
              <w:keepNext w:val="0"/>
              <w:numPr>
                <w:ilvl w:val="0"/>
                <w:numId w:val="9"/>
              </w:numPr>
              <w:spacing w:before="0" w:after="0"/>
              <w:rPr>
                <w:rFonts w:ascii="Arial" w:hAnsi="Arial" w:cs="Arial"/>
              </w:rPr>
            </w:pPr>
            <w:r>
              <w:rPr>
                <w:rFonts w:ascii="Arial" w:hAnsi="Arial" w:cs="Arial"/>
              </w:rPr>
              <w:t>Several asterisks have been carried over from the full competency standards framework document – for example, against the words “adherence” and “leadership” near the bottom of p. 21.</w:t>
            </w:r>
            <w:r>
              <w:rPr>
                <w:rFonts w:ascii="Arial" w:hAnsi="Arial" w:cs="Arial"/>
              </w:rPr>
              <w:br/>
            </w:r>
            <w:r w:rsidR="00BF0932">
              <w:rPr>
                <w:rFonts w:ascii="Arial" w:hAnsi="Arial" w:cs="Arial"/>
              </w:rPr>
              <w:br/>
            </w:r>
          </w:p>
          <w:p w:rsidR="000E2F77" w:rsidRPr="002A783B" w:rsidRDefault="002A783B" w:rsidP="002A783B">
            <w:pPr>
              <w:pStyle w:val="TableText"/>
              <w:keepNext w:val="0"/>
              <w:numPr>
                <w:ilvl w:val="0"/>
                <w:numId w:val="9"/>
              </w:numPr>
              <w:spacing w:before="0" w:after="0"/>
              <w:rPr>
                <w:rFonts w:ascii="Arial" w:hAnsi="Arial" w:cs="Arial"/>
              </w:rPr>
            </w:pPr>
            <w:r>
              <w:rPr>
                <w:rFonts w:ascii="Arial" w:hAnsi="Arial" w:cs="Arial"/>
              </w:rPr>
              <w:t>p. 42</w:t>
            </w:r>
            <w:r w:rsidR="00DA54A3">
              <w:rPr>
                <w:rFonts w:ascii="Arial" w:hAnsi="Arial" w:cs="Arial"/>
              </w:rPr>
              <w:t>,</w:t>
            </w:r>
            <w:r w:rsidR="00A062AB">
              <w:rPr>
                <w:rFonts w:ascii="Arial" w:hAnsi="Arial" w:cs="Arial"/>
              </w:rPr>
              <w:t xml:space="preserve"> Element 4 (Manage records for primary health care services) – “Element 4” should read “Element 5” in order to </w:t>
            </w:r>
            <w:r>
              <w:rPr>
                <w:rFonts w:ascii="Arial" w:hAnsi="Arial" w:cs="Arial"/>
              </w:rPr>
              <w:t xml:space="preserve">maintain </w:t>
            </w:r>
            <w:r w:rsidR="00A062AB">
              <w:rPr>
                <w:rFonts w:ascii="Arial" w:hAnsi="Arial" w:cs="Arial"/>
              </w:rPr>
              <w:t xml:space="preserve">the </w:t>
            </w:r>
            <w:r>
              <w:rPr>
                <w:rFonts w:ascii="Arial" w:hAnsi="Arial" w:cs="Arial"/>
              </w:rPr>
              <w:t xml:space="preserve">structure of the </w:t>
            </w:r>
            <w:r w:rsidR="00A062AB">
              <w:rPr>
                <w:rFonts w:ascii="Arial" w:hAnsi="Arial" w:cs="Arial"/>
              </w:rPr>
              <w:t xml:space="preserve">competency standards </w:t>
            </w:r>
            <w:r>
              <w:rPr>
                <w:rFonts w:ascii="Arial" w:hAnsi="Arial" w:cs="Arial"/>
              </w:rPr>
              <w:t xml:space="preserve">framework </w:t>
            </w:r>
            <w:r w:rsidR="00A062AB">
              <w:rPr>
                <w:rFonts w:ascii="Arial" w:hAnsi="Arial" w:cs="Arial"/>
              </w:rPr>
              <w:t xml:space="preserve">and </w:t>
            </w:r>
            <w:r>
              <w:rPr>
                <w:rFonts w:ascii="Arial" w:hAnsi="Arial" w:cs="Arial"/>
              </w:rPr>
              <w:t xml:space="preserve">the </w:t>
            </w:r>
            <w:r w:rsidR="00A062AB">
              <w:rPr>
                <w:rFonts w:ascii="Arial" w:hAnsi="Arial" w:cs="Arial"/>
              </w:rPr>
              <w:t>ability to cross reference accurately.</w:t>
            </w: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Do you have any suggestions for questions to be answered in Frequently Asked Questions developed by the Board, to assist pharmacists in using the practice profile</w:t>
            </w:r>
            <w:r w:rsidR="00511339">
              <w:rPr>
                <w:rFonts w:ascii="Arial" w:hAnsi="Arial" w:cs="Arial"/>
                <w:szCs w:val="20"/>
              </w:rPr>
              <w:t xml:space="preserve"> for complex compounding</w:t>
            </w:r>
            <w:r>
              <w:rPr>
                <w:rFonts w:ascii="Arial" w:hAnsi="Arial" w:cs="Arial"/>
                <w:szCs w:val="20"/>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14334D" w:rsidRPr="0044168E" w:rsidRDefault="0044168E" w:rsidP="0044168E">
            <w:pPr>
              <w:pStyle w:val="TableText"/>
              <w:keepNext w:val="0"/>
              <w:spacing w:before="0" w:after="0"/>
              <w:jc w:val="both"/>
              <w:rPr>
                <w:rFonts w:ascii="Arial" w:hAnsi="Arial" w:cs="Arial"/>
              </w:rPr>
            </w:pPr>
            <w:r w:rsidRPr="0044168E">
              <w:rPr>
                <w:rFonts w:ascii="Arial" w:hAnsi="Arial" w:cs="Arial"/>
              </w:rPr>
              <w:t>No</w:t>
            </w: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 you have any other comments on the draft practice profile?</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Pr="0044168E" w:rsidRDefault="0044168E" w:rsidP="00547923">
            <w:pPr>
              <w:pStyle w:val="TableText"/>
              <w:keepNext w:val="0"/>
              <w:spacing w:before="0" w:after="0"/>
              <w:jc w:val="both"/>
              <w:rPr>
                <w:rFonts w:ascii="Arial" w:hAnsi="Arial" w:cs="Arial"/>
              </w:rPr>
            </w:pPr>
            <w:r w:rsidRPr="0044168E">
              <w:rPr>
                <w:rFonts w:ascii="Arial" w:hAnsi="Arial" w:cs="Arial"/>
              </w:rPr>
              <w:t>No</w:t>
            </w:r>
          </w:p>
          <w:p w:rsidR="00547923" w:rsidRPr="0093789E" w:rsidRDefault="00547923" w:rsidP="00547923">
            <w:pPr>
              <w:pStyle w:val="TableText"/>
              <w:keepNext w:val="0"/>
              <w:spacing w:before="0" w:after="0"/>
              <w:jc w:val="both"/>
              <w:rPr>
                <w:rFonts w:ascii="Arial" w:hAnsi="Arial" w:cs="Arial"/>
                <w:color w:val="auto"/>
              </w:rPr>
            </w:pPr>
          </w:p>
        </w:tc>
      </w:tr>
    </w:tbl>
    <w:p w:rsidR="000A04E2" w:rsidRDefault="000A04E2" w:rsidP="005804F4">
      <w:pPr>
        <w:pStyle w:val="TableText"/>
        <w:keepNext w:val="0"/>
        <w:ind w:left="142"/>
        <w:jc w:val="both"/>
        <w:rPr>
          <w:color w:val="auto"/>
        </w:rPr>
      </w:pPr>
    </w:p>
    <w:p w:rsidR="000A04E2" w:rsidRDefault="000A04E2"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8"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A62498">
        <w:rPr>
          <w:rFonts w:ascii="Arial" w:hAnsi="Arial"/>
          <w:b/>
          <w:lang w:val="en-US"/>
        </w:rPr>
        <w:t>Monday</w:t>
      </w:r>
      <w:r w:rsidR="00F30010" w:rsidRPr="000D72F6">
        <w:rPr>
          <w:rFonts w:ascii="Arial" w:hAnsi="Arial"/>
          <w:b/>
          <w:lang w:val="en-US"/>
        </w:rPr>
        <w:t xml:space="preserve"> </w:t>
      </w:r>
      <w:r w:rsidR="00A62498">
        <w:rPr>
          <w:rFonts w:ascii="Arial" w:hAnsi="Arial"/>
          <w:b/>
          <w:lang w:val="en-US"/>
        </w:rPr>
        <w:t>30 June</w:t>
      </w:r>
      <w:r w:rsidR="00F30010" w:rsidRPr="000D72F6">
        <w:rPr>
          <w:rFonts w:ascii="Arial" w:hAnsi="Arial"/>
          <w:b/>
          <w:lang w:val="en-US"/>
        </w:rPr>
        <w:t xml:space="preserve"> 201</w:t>
      </w:r>
      <w:r w:rsidR="00A62498">
        <w:rPr>
          <w:rFonts w:ascii="Arial" w:hAnsi="Arial"/>
          <w:b/>
          <w:lang w:val="en-US"/>
        </w:rPr>
        <w:t>4</w:t>
      </w:r>
      <w:r w:rsidRPr="000D72F6">
        <w:rPr>
          <w:rFonts w:ascii="Arial" w:hAnsi="Arial"/>
          <w:b/>
        </w:rPr>
        <w:t>.</w:t>
      </w:r>
    </w:p>
    <w:p w:rsidR="00D500CB" w:rsidRDefault="00D500CB" w:rsidP="005804F4">
      <w:pPr>
        <w:pStyle w:val="TableText"/>
        <w:keepNext w:val="0"/>
        <w:ind w:left="142"/>
        <w:jc w:val="both"/>
        <w:rPr>
          <w:rFonts w:ascii="Arial" w:hAnsi="Arial"/>
          <w:b/>
        </w:rPr>
      </w:pPr>
    </w:p>
    <w:p w:rsidR="00D500CB" w:rsidRDefault="00D500CB" w:rsidP="005804F4">
      <w:pPr>
        <w:pStyle w:val="TableText"/>
        <w:keepNext w:val="0"/>
        <w:ind w:left="142"/>
        <w:jc w:val="both"/>
        <w:rPr>
          <w:color w:val="auto"/>
        </w:rPr>
      </w:pPr>
    </w:p>
    <w:sectPr w:rsidR="00D500CB"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DF" w:rsidRDefault="007A44DF" w:rsidP="00A43430">
      <w:pPr>
        <w:spacing w:after="0" w:line="240" w:lineRule="auto"/>
      </w:pPr>
      <w:r>
        <w:separator/>
      </w:r>
    </w:p>
  </w:endnote>
  <w:endnote w:type="continuationSeparator" w:id="0">
    <w:p w:rsidR="007A44DF" w:rsidRDefault="007A44DF"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8"/>
      </w:rPr>
      <w:id w:val="4061524"/>
      <w:docPartObj>
        <w:docPartGallery w:val="Page Numbers (Top of Page)"/>
        <w:docPartUnique/>
      </w:docPartObj>
    </w:sdtPr>
    <w:sdtEndPr>
      <w:rPr>
        <w:sz w:val="18"/>
      </w:rPr>
    </w:sdtEndPr>
    <w:sdtContent>
      <w:p w:rsidR="007A44DF" w:rsidRDefault="007A44DF" w:rsidP="00780CE7">
        <w:pPr>
          <w:pStyle w:val="Header"/>
          <w:tabs>
            <w:tab w:val="clear" w:pos="4680"/>
            <w:tab w:val="clear" w:pos="9360"/>
            <w:tab w:val="center" w:pos="4820"/>
            <w:tab w:val="right" w:pos="9072"/>
          </w:tabs>
          <w:rPr>
            <w:rFonts w:ascii="Arial" w:hAnsi="Arial" w:cs="Arial"/>
            <w:sz w:val="14"/>
            <w:szCs w:val="18"/>
          </w:rPr>
        </w:pPr>
        <w:r>
          <w:rPr>
            <w:rFonts w:ascii="Arial" w:hAnsi="Arial" w:cs="Arial"/>
            <w:sz w:val="14"/>
            <w:szCs w:val="18"/>
          </w:rPr>
          <w:tab/>
        </w:r>
      </w:p>
      <w:p w:rsidR="007A44DF" w:rsidRPr="00780CE7" w:rsidRDefault="007A44DF" w:rsidP="00780CE7">
        <w:pPr>
          <w:pStyle w:val="Header"/>
          <w:tabs>
            <w:tab w:val="clear" w:pos="4680"/>
            <w:tab w:val="clear" w:pos="9360"/>
            <w:tab w:val="center" w:pos="3402"/>
            <w:tab w:val="right" w:pos="9072"/>
          </w:tabs>
          <w:rPr>
            <w:rFonts w:ascii="Arial" w:hAnsi="Arial" w:cs="Arial"/>
            <w:sz w:val="16"/>
            <w:szCs w:val="16"/>
          </w:rPr>
        </w:pPr>
      </w:p>
      <w:p w:rsidR="007A44DF" w:rsidRPr="00047AAB" w:rsidRDefault="007A44DF" w:rsidP="00FE1236">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7A44DF" w:rsidRPr="00E5769B" w:rsidRDefault="007A44DF" w:rsidP="00780CE7">
        <w:pPr>
          <w:pStyle w:val="Header"/>
          <w:tabs>
            <w:tab w:val="clear" w:pos="4680"/>
            <w:tab w:val="clear" w:pos="9360"/>
            <w:tab w:val="center" w:pos="3402"/>
            <w:tab w:val="right" w:pos="9072"/>
          </w:tabs>
          <w:rPr>
            <w:rFonts w:ascii="Arial" w:hAnsi="Arial" w:cs="Arial"/>
            <w:sz w:val="16"/>
            <w:szCs w:val="20"/>
          </w:rPr>
        </w:pPr>
      </w:p>
      <w:p w:rsidR="007A44DF" w:rsidRDefault="007A44DF"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8D733C" w:rsidRPr="009D3653">
          <w:rPr>
            <w:rFonts w:ascii="Arial" w:hAnsi="Arial" w:cs="Arial"/>
            <w:sz w:val="18"/>
            <w:szCs w:val="18"/>
          </w:rPr>
          <w:fldChar w:fldCharType="begin"/>
        </w:r>
        <w:r w:rsidRPr="009D3653">
          <w:rPr>
            <w:rFonts w:ascii="Arial" w:hAnsi="Arial" w:cs="Arial"/>
            <w:sz w:val="18"/>
            <w:szCs w:val="18"/>
          </w:rPr>
          <w:instrText xml:space="preserve"> PAGE </w:instrText>
        </w:r>
        <w:r w:rsidR="008D733C" w:rsidRPr="009D3653">
          <w:rPr>
            <w:rFonts w:ascii="Arial" w:hAnsi="Arial" w:cs="Arial"/>
            <w:sz w:val="18"/>
            <w:szCs w:val="18"/>
          </w:rPr>
          <w:fldChar w:fldCharType="separate"/>
        </w:r>
        <w:r w:rsidR="00690436">
          <w:rPr>
            <w:rFonts w:ascii="Arial" w:hAnsi="Arial" w:cs="Arial"/>
            <w:noProof/>
            <w:sz w:val="18"/>
            <w:szCs w:val="18"/>
          </w:rPr>
          <w:t>3</w:t>
        </w:r>
        <w:r w:rsidR="008D733C" w:rsidRPr="009D3653">
          <w:rPr>
            <w:rFonts w:ascii="Arial" w:hAnsi="Arial" w:cs="Arial"/>
            <w:sz w:val="18"/>
            <w:szCs w:val="18"/>
          </w:rPr>
          <w:fldChar w:fldCharType="end"/>
        </w:r>
        <w:r w:rsidRPr="009D3653">
          <w:rPr>
            <w:rFonts w:ascii="Arial" w:hAnsi="Arial" w:cs="Arial"/>
            <w:sz w:val="18"/>
            <w:szCs w:val="18"/>
          </w:rPr>
          <w:t xml:space="preserve"> of </w:t>
        </w:r>
        <w:r w:rsidR="008D733C"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8D733C" w:rsidRPr="009D3653">
          <w:rPr>
            <w:rFonts w:ascii="Arial" w:hAnsi="Arial" w:cs="Arial"/>
            <w:sz w:val="18"/>
            <w:szCs w:val="18"/>
          </w:rPr>
          <w:fldChar w:fldCharType="separate"/>
        </w:r>
        <w:r w:rsidR="00690436">
          <w:rPr>
            <w:rFonts w:ascii="Arial" w:hAnsi="Arial" w:cs="Arial"/>
            <w:noProof/>
            <w:sz w:val="18"/>
            <w:szCs w:val="18"/>
          </w:rPr>
          <w:t>3</w:t>
        </w:r>
        <w:r w:rsidR="008D733C"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DF" w:rsidRPr="00E5769B" w:rsidRDefault="007A44DF" w:rsidP="00192714">
    <w:pPr>
      <w:pStyle w:val="AHPRAfirstpagefooter"/>
      <w:rPr>
        <w:szCs w:val="18"/>
      </w:rPr>
    </w:pPr>
    <w:r w:rsidRPr="00E5769B">
      <w:rPr>
        <w:color w:val="007DC3"/>
        <w:szCs w:val="18"/>
      </w:rPr>
      <w:t>Pharmacy</w:t>
    </w:r>
    <w:r w:rsidRPr="00E5769B">
      <w:rPr>
        <w:szCs w:val="18"/>
      </w:rPr>
      <w:t xml:space="preserve"> Board of Australia</w:t>
    </w:r>
  </w:p>
  <w:p w:rsidR="007A44DF" w:rsidRPr="00192714" w:rsidRDefault="007A44DF"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7A44DF" w:rsidRPr="00E07D13" w:rsidRDefault="007A44DF"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DF" w:rsidRDefault="007A44DF" w:rsidP="00A43430">
      <w:pPr>
        <w:spacing w:after="0" w:line="240" w:lineRule="auto"/>
      </w:pPr>
      <w:r>
        <w:separator/>
      </w:r>
    </w:p>
  </w:footnote>
  <w:footnote w:type="continuationSeparator" w:id="0">
    <w:p w:rsidR="007A44DF" w:rsidRDefault="007A44DF" w:rsidP="00A43430">
      <w:pPr>
        <w:spacing w:after="0" w:line="240" w:lineRule="auto"/>
      </w:pPr>
      <w:r>
        <w:continuationSeparator/>
      </w:r>
    </w:p>
  </w:footnote>
  <w:footnote w:id="1">
    <w:p w:rsidR="007A44DF" w:rsidRDefault="007A44DF"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DF" w:rsidRDefault="007A44DF" w:rsidP="00E07D13">
    <w:pPr>
      <w:pStyle w:val="Header"/>
      <w:rPr>
        <w:rFonts w:ascii="Arial" w:hAnsi="Arial" w:cs="Arial"/>
        <w:sz w:val="20"/>
        <w:szCs w:val="20"/>
      </w:rPr>
    </w:pPr>
  </w:p>
  <w:p w:rsidR="007A44DF" w:rsidRDefault="007A44DF" w:rsidP="00E07D13">
    <w:pPr>
      <w:pStyle w:val="Header"/>
      <w:rPr>
        <w:rFonts w:ascii="Arial" w:hAnsi="Arial" w:cs="Arial"/>
        <w:sz w:val="20"/>
        <w:szCs w:val="20"/>
      </w:rPr>
    </w:pPr>
  </w:p>
  <w:p w:rsidR="007A44DF" w:rsidRPr="00B12E0A" w:rsidRDefault="007A44DF"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p w:rsidR="007A44DF" w:rsidRDefault="007A4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B6689"/>
    <w:multiLevelType w:val="hybridMultilevel"/>
    <w:tmpl w:val="A14A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46AD3"/>
    <w:multiLevelType w:val="hybridMultilevel"/>
    <w:tmpl w:val="D258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003F0A"/>
    <w:rsid w:val="00012AB1"/>
    <w:rsid w:val="0002306A"/>
    <w:rsid w:val="000255FE"/>
    <w:rsid w:val="000506EA"/>
    <w:rsid w:val="00075C71"/>
    <w:rsid w:val="000A04E2"/>
    <w:rsid w:val="000A12D8"/>
    <w:rsid w:val="000A26E4"/>
    <w:rsid w:val="000C51C7"/>
    <w:rsid w:val="000D22C5"/>
    <w:rsid w:val="000D42DE"/>
    <w:rsid w:val="000D72F6"/>
    <w:rsid w:val="000E2F77"/>
    <w:rsid w:val="000F32CC"/>
    <w:rsid w:val="001037F1"/>
    <w:rsid w:val="0011488A"/>
    <w:rsid w:val="0013396B"/>
    <w:rsid w:val="0014334D"/>
    <w:rsid w:val="00192714"/>
    <w:rsid w:val="001A6FF0"/>
    <w:rsid w:val="001D5537"/>
    <w:rsid w:val="001F419C"/>
    <w:rsid w:val="001F586B"/>
    <w:rsid w:val="001F63F8"/>
    <w:rsid w:val="001F7A6B"/>
    <w:rsid w:val="00204E84"/>
    <w:rsid w:val="00232339"/>
    <w:rsid w:val="00233E78"/>
    <w:rsid w:val="0023733D"/>
    <w:rsid w:val="002A783B"/>
    <w:rsid w:val="002B2C45"/>
    <w:rsid w:val="002C0411"/>
    <w:rsid w:val="002C138A"/>
    <w:rsid w:val="002C6279"/>
    <w:rsid w:val="002D6FEB"/>
    <w:rsid w:val="00312D1D"/>
    <w:rsid w:val="00325589"/>
    <w:rsid w:val="00333CB2"/>
    <w:rsid w:val="003535C0"/>
    <w:rsid w:val="00362447"/>
    <w:rsid w:val="003639F9"/>
    <w:rsid w:val="00371AE4"/>
    <w:rsid w:val="00374C1F"/>
    <w:rsid w:val="00395CC6"/>
    <w:rsid w:val="003A5FFE"/>
    <w:rsid w:val="003E151C"/>
    <w:rsid w:val="003F3C94"/>
    <w:rsid w:val="00411FB6"/>
    <w:rsid w:val="0041414F"/>
    <w:rsid w:val="004219C8"/>
    <w:rsid w:val="00432B52"/>
    <w:rsid w:val="0044168E"/>
    <w:rsid w:val="00487166"/>
    <w:rsid w:val="004B1F26"/>
    <w:rsid w:val="004D18B6"/>
    <w:rsid w:val="004E13C1"/>
    <w:rsid w:val="004E69DB"/>
    <w:rsid w:val="004F6E85"/>
    <w:rsid w:val="004F75C4"/>
    <w:rsid w:val="00511339"/>
    <w:rsid w:val="00515FBC"/>
    <w:rsid w:val="00547923"/>
    <w:rsid w:val="00566FD1"/>
    <w:rsid w:val="005804F4"/>
    <w:rsid w:val="0058421F"/>
    <w:rsid w:val="005B11D8"/>
    <w:rsid w:val="005B69C5"/>
    <w:rsid w:val="005D6C58"/>
    <w:rsid w:val="005E405C"/>
    <w:rsid w:val="006266AB"/>
    <w:rsid w:val="006307C0"/>
    <w:rsid w:val="00690436"/>
    <w:rsid w:val="0069209F"/>
    <w:rsid w:val="006E2D73"/>
    <w:rsid w:val="006E7EB2"/>
    <w:rsid w:val="006F021B"/>
    <w:rsid w:val="00700478"/>
    <w:rsid w:val="0070387E"/>
    <w:rsid w:val="007060F7"/>
    <w:rsid w:val="0071260D"/>
    <w:rsid w:val="0072456E"/>
    <w:rsid w:val="00742725"/>
    <w:rsid w:val="00755A0F"/>
    <w:rsid w:val="00756610"/>
    <w:rsid w:val="00780CE7"/>
    <w:rsid w:val="0078580E"/>
    <w:rsid w:val="007A0D9C"/>
    <w:rsid w:val="007A2F31"/>
    <w:rsid w:val="007A44DF"/>
    <w:rsid w:val="007D237D"/>
    <w:rsid w:val="007D5E6C"/>
    <w:rsid w:val="00821E14"/>
    <w:rsid w:val="008338F1"/>
    <w:rsid w:val="0083417E"/>
    <w:rsid w:val="008754B8"/>
    <w:rsid w:val="00882805"/>
    <w:rsid w:val="00890778"/>
    <w:rsid w:val="008D733C"/>
    <w:rsid w:val="008F6474"/>
    <w:rsid w:val="00905B01"/>
    <w:rsid w:val="009062D9"/>
    <w:rsid w:val="0091348C"/>
    <w:rsid w:val="0093789E"/>
    <w:rsid w:val="00955659"/>
    <w:rsid w:val="009C53C9"/>
    <w:rsid w:val="009F1223"/>
    <w:rsid w:val="009F6555"/>
    <w:rsid w:val="009F71CC"/>
    <w:rsid w:val="00A062AB"/>
    <w:rsid w:val="00A43430"/>
    <w:rsid w:val="00A52096"/>
    <w:rsid w:val="00A62498"/>
    <w:rsid w:val="00A93907"/>
    <w:rsid w:val="00A95B18"/>
    <w:rsid w:val="00AB2684"/>
    <w:rsid w:val="00AB72D9"/>
    <w:rsid w:val="00AD021B"/>
    <w:rsid w:val="00B12E0A"/>
    <w:rsid w:val="00B3614E"/>
    <w:rsid w:val="00B43FBE"/>
    <w:rsid w:val="00B62F99"/>
    <w:rsid w:val="00B65321"/>
    <w:rsid w:val="00B870D1"/>
    <w:rsid w:val="00B950B5"/>
    <w:rsid w:val="00BA7F4C"/>
    <w:rsid w:val="00BB69CC"/>
    <w:rsid w:val="00BC1A95"/>
    <w:rsid w:val="00BD1EE5"/>
    <w:rsid w:val="00BD623A"/>
    <w:rsid w:val="00BE2250"/>
    <w:rsid w:val="00BF0932"/>
    <w:rsid w:val="00C05619"/>
    <w:rsid w:val="00C26979"/>
    <w:rsid w:val="00C32BAE"/>
    <w:rsid w:val="00C3659E"/>
    <w:rsid w:val="00C63E14"/>
    <w:rsid w:val="00C86132"/>
    <w:rsid w:val="00C9393B"/>
    <w:rsid w:val="00C96543"/>
    <w:rsid w:val="00CB2EE4"/>
    <w:rsid w:val="00CD37E6"/>
    <w:rsid w:val="00CF78AF"/>
    <w:rsid w:val="00D43FB6"/>
    <w:rsid w:val="00D500CB"/>
    <w:rsid w:val="00D666E3"/>
    <w:rsid w:val="00D8397E"/>
    <w:rsid w:val="00D91023"/>
    <w:rsid w:val="00DA54A3"/>
    <w:rsid w:val="00DB403D"/>
    <w:rsid w:val="00DB472B"/>
    <w:rsid w:val="00DB5474"/>
    <w:rsid w:val="00DC53CF"/>
    <w:rsid w:val="00DD1CFE"/>
    <w:rsid w:val="00DF4AF6"/>
    <w:rsid w:val="00E07D13"/>
    <w:rsid w:val="00E2141B"/>
    <w:rsid w:val="00E25FA7"/>
    <w:rsid w:val="00E268EF"/>
    <w:rsid w:val="00E56830"/>
    <w:rsid w:val="00E5769B"/>
    <w:rsid w:val="00E65D5F"/>
    <w:rsid w:val="00E7034E"/>
    <w:rsid w:val="00EA003C"/>
    <w:rsid w:val="00EC766F"/>
    <w:rsid w:val="00F0552E"/>
    <w:rsid w:val="00F1330C"/>
    <w:rsid w:val="00F30010"/>
    <w:rsid w:val="00F410FD"/>
    <w:rsid w:val="00F47F45"/>
    <w:rsid w:val="00F56B4A"/>
    <w:rsid w:val="00F6154A"/>
    <w:rsid w:val="00F65455"/>
    <w:rsid w:val="00FE1236"/>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B2AFA49B-D265-438B-9FB7-C0A752BD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uiPriority w:val="99"/>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87445">
      <w:bodyDiv w:val="1"/>
      <w:marLeft w:val="0"/>
      <w:marRight w:val="0"/>
      <w:marTop w:val="0"/>
      <w:marBottom w:val="0"/>
      <w:divBdr>
        <w:top w:val="none" w:sz="0" w:space="0" w:color="auto"/>
        <w:left w:val="none" w:sz="0" w:space="0" w:color="auto"/>
        <w:bottom w:val="none" w:sz="0" w:space="0" w:color="auto"/>
        <w:right w:val="none" w:sz="0" w:space="0" w:color="auto"/>
      </w:divBdr>
    </w:div>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Practice profile public consultation response paper - 28 April 2014</vt:lpstr>
    </vt:vector>
  </TitlesOfParts>
  <Company>AHPRA</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public consultation response paper - 28 April 2014</dc:title>
  <dc:subject>Submission</dc:subject>
  <dc:creator>Pharmacy Board</dc:creator>
  <cp:lastModifiedBy>Tara Johnson</cp:lastModifiedBy>
  <cp:revision>2</cp:revision>
  <cp:lastPrinted>2014-06-27T04:55:00Z</cp:lastPrinted>
  <dcterms:created xsi:type="dcterms:W3CDTF">2015-03-10T01:23:00Z</dcterms:created>
  <dcterms:modified xsi:type="dcterms:W3CDTF">2015-03-10T01:23:00Z</dcterms:modified>
</cp:coreProperties>
</file>