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bookmarkStart w:id="0" w:name="_GoBack"/>
      <w:bookmarkEnd w:id="0"/>
    </w:p>
    <w:p w:rsidR="000A3981" w:rsidRPr="001B3F78" w:rsidRDefault="000A3981" w:rsidP="000A3981">
      <w:pPr>
        <w:pStyle w:val="AHPRATitle"/>
        <w:rPr>
          <w:b/>
          <w:noProof/>
          <w:sz w:val="28"/>
          <w:szCs w:val="28"/>
        </w:rPr>
      </w:pPr>
      <w:r w:rsidRPr="001B3F78">
        <w:rPr>
          <w:b/>
          <w:sz w:val="28"/>
          <w:szCs w:val="28"/>
        </w:rPr>
        <w:t>Communiqué</w:t>
      </w:r>
    </w:p>
    <w:p w:rsidR="00745EEC" w:rsidRPr="0094694C" w:rsidRDefault="00BB35F0" w:rsidP="007B6F93">
      <w:pPr>
        <w:spacing w:before="240" w:after="240"/>
        <w:rPr>
          <w:rFonts w:ascii="Arial" w:hAnsi="Arial" w:cs="Arial"/>
          <w:b/>
          <w:sz w:val="20"/>
          <w:szCs w:val="20"/>
          <w:lang w:val="en-US"/>
        </w:rPr>
      </w:pPr>
      <w:r>
        <w:rPr>
          <w:rFonts w:ascii="Arial" w:hAnsi="Arial" w:cs="Arial"/>
          <w:b/>
          <w:sz w:val="20"/>
          <w:szCs w:val="20"/>
          <w:lang w:val="en-US"/>
        </w:rPr>
        <w:t>28</w:t>
      </w:r>
      <w:r w:rsidR="003209DA">
        <w:rPr>
          <w:rFonts w:ascii="Arial" w:hAnsi="Arial" w:cs="Arial"/>
          <w:b/>
          <w:sz w:val="20"/>
          <w:szCs w:val="20"/>
          <w:lang w:val="en-US"/>
        </w:rPr>
        <w:t xml:space="preserve"> </w:t>
      </w:r>
      <w:r w:rsidR="009036C8">
        <w:rPr>
          <w:rFonts w:ascii="Arial" w:hAnsi="Arial" w:cs="Arial"/>
          <w:b/>
          <w:sz w:val="20"/>
          <w:szCs w:val="20"/>
          <w:lang w:val="en-US"/>
        </w:rPr>
        <w:t>April</w:t>
      </w:r>
      <w:r w:rsidR="00DE177C">
        <w:rPr>
          <w:rFonts w:ascii="Arial" w:hAnsi="Arial" w:cs="Arial"/>
          <w:b/>
          <w:sz w:val="20"/>
          <w:szCs w:val="20"/>
          <w:lang w:val="en-US"/>
        </w:rPr>
        <w:t xml:space="preserve"> 2015</w:t>
      </w:r>
    </w:p>
    <w:p w:rsidR="00750FA1" w:rsidRDefault="008121B5" w:rsidP="00DA1548">
      <w:pPr>
        <w:spacing w:after="20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22C40">
        <w:rPr>
          <w:rFonts w:ascii="Arial" w:hAnsi="Arial" w:cs="Arial"/>
          <w:sz w:val="20"/>
          <w:szCs w:val="20"/>
          <w:lang w:val="en-US"/>
        </w:rPr>
        <w:t xml:space="preserve"> on </w:t>
      </w:r>
      <w:r w:rsidR="00054468">
        <w:rPr>
          <w:rFonts w:ascii="Arial" w:hAnsi="Arial" w:cs="Arial"/>
          <w:sz w:val="20"/>
          <w:szCs w:val="20"/>
          <w:lang w:val="en-US"/>
        </w:rPr>
        <w:t xml:space="preserve">17 April </w:t>
      </w:r>
      <w:r w:rsidR="00203DEB">
        <w:rPr>
          <w:rFonts w:ascii="Arial" w:hAnsi="Arial" w:cs="Arial"/>
          <w:sz w:val="20"/>
          <w:szCs w:val="20"/>
          <w:lang w:val="en-US"/>
        </w:rPr>
        <w:t>2015</w:t>
      </w:r>
      <w:r w:rsidR="005B5709">
        <w:rPr>
          <w:rFonts w:ascii="Arial" w:hAnsi="Arial" w:cs="Arial"/>
          <w:sz w:val="20"/>
          <w:szCs w:val="20"/>
          <w:lang w:val="en-US"/>
        </w:rPr>
        <w:t xml:space="preserve"> in Melbourne</w:t>
      </w:r>
      <w:r>
        <w:rPr>
          <w:rFonts w:ascii="Arial" w:hAnsi="Arial" w:cs="Arial"/>
          <w:sz w:val="20"/>
          <w:szCs w:val="20"/>
        </w:rPr>
        <w:t>.</w:t>
      </w:r>
    </w:p>
    <w:p w:rsidR="009036C8" w:rsidRDefault="00054468" w:rsidP="00DA1548">
      <w:pPr>
        <w:pStyle w:val="AHPRASubhead"/>
        <w:rPr>
          <w:rFonts w:cs="Arial"/>
          <w:szCs w:val="20"/>
        </w:rPr>
      </w:pPr>
      <w:r>
        <w:rPr>
          <w:rFonts w:cs="Arial"/>
          <w:szCs w:val="20"/>
        </w:rPr>
        <w:t xml:space="preserve">Compounding of medicines </w:t>
      </w:r>
    </w:p>
    <w:p w:rsidR="00394A73" w:rsidRPr="00BB35F0" w:rsidRDefault="00BB35F0" w:rsidP="00394A73">
      <w:pPr>
        <w:pStyle w:val="ListParagraph"/>
        <w:ind w:left="0"/>
        <w:contextualSpacing w:val="0"/>
        <w:jc w:val="both"/>
        <w:rPr>
          <w:rFonts w:ascii="Arial" w:hAnsi="Arial" w:cs="Arial"/>
          <w:sz w:val="20"/>
          <w:szCs w:val="20"/>
        </w:rPr>
      </w:pPr>
      <w:r>
        <w:rPr>
          <w:rFonts w:ascii="Arial" w:hAnsi="Arial" w:cs="Arial"/>
          <w:sz w:val="20"/>
          <w:szCs w:val="20"/>
        </w:rPr>
        <w:t xml:space="preserve">The Board’s </w:t>
      </w:r>
      <w:r w:rsidR="0001471F" w:rsidRPr="0001471F">
        <w:rPr>
          <w:rFonts w:ascii="Arial" w:hAnsi="Arial" w:cs="Arial"/>
          <w:i/>
          <w:sz w:val="20"/>
          <w:szCs w:val="20"/>
        </w:rPr>
        <w:t>Guidelines for compounding of medicines</w:t>
      </w:r>
      <w:r>
        <w:rPr>
          <w:rFonts w:ascii="Arial" w:hAnsi="Arial" w:cs="Arial"/>
          <w:sz w:val="20"/>
          <w:szCs w:val="20"/>
        </w:rPr>
        <w:t xml:space="preserve"> (the </w:t>
      </w:r>
      <w:r w:rsidR="00B01866">
        <w:rPr>
          <w:rFonts w:ascii="Arial" w:hAnsi="Arial" w:cs="Arial"/>
          <w:sz w:val="20"/>
          <w:szCs w:val="20"/>
        </w:rPr>
        <w:t>g</w:t>
      </w:r>
      <w:r>
        <w:rPr>
          <w:rFonts w:ascii="Arial" w:hAnsi="Arial" w:cs="Arial"/>
          <w:sz w:val="20"/>
          <w:szCs w:val="20"/>
        </w:rPr>
        <w:t xml:space="preserve">uidelines) </w:t>
      </w:r>
      <w:r w:rsidRPr="00BB35F0">
        <w:rPr>
          <w:rFonts w:ascii="Arial" w:hAnsi="Arial" w:cs="Arial"/>
          <w:sz w:val="20"/>
          <w:szCs w:val="20"/>
        </w:rPr>
        <w:t xml:space="preserve">take effect </w:t>
      </w:r>
      <w:r>
        <w:rPr>
          <w:rFonts w:ascii="Arial" w:hAnsi="Arial" w:cs="Arial"/>
          <w:sz w:val="20"/>
          <w:szCs w:val="20"/>
        </w:rPr>
        <w:t>today</w:t>
      </w:r>
      <w:r w:rsidRPr="00BB35F0">
        <w:rPr>
          <w:rFonts w:ascii="Arial" w:hAnsi="Arial" w:cs="Arial"/>
          <w:sz w:val="20"/>
          <w:szCs w:val="20"/>
        </w:rPr>
        <w:t>, with</w:t>
      </w:r>
      <w:r>
        <w:rPr>
          <w:rFonts w:ascii="Arial" w:hAnsi="Arial" w:cs="Arial"/>
          <w:sz w:val="20"/>
          <w:szCs w:val="20"/>
        </w:rPr>
        <w:t xml:space="preserve"> the exception of</w:t>
      </w:r>
      <w:r w:rsidRPr="00BB35F0">
        <w:rPr>
          <w:rFonts w:ascii="Arial" w:hAnsi="Arial" w:cs="Arial"/>
          <w:sz w:val="20"/>
          <w:szCs w:val="20"/>
        </w:rPr>
        <w:t xml:space="preserve"> one section that has been postponed for three months.</w:t>
      </w:r>
      <w:r w:rsidR="00394A73">
        <w:rPr>
          <w:rFonts w:ascii="Arial" w:hAnsi="Arial" w:cs="Arial"/>
          <w:sz w:val="20"/>
          <w:szCs w:val="20"/>
        </w:rPr>
        <w:t xml:space="preserve"> </w:t>
      </w:r>
    </w:p>
    <w:p w:rsidR="00D741EE" w:rsidRPr="00BB35F0" w:rsidRDefault="00D741EE" w:rsidP="00DA1548">
      <w:pPr>
        <w:pStyle w:val="AHPRASubhead"/>
        <w:rPr>
          <w:rFonts w:cs="Arial"/>
          <w:color w:val="auto"/>
          <w:szCs w:val="20"/>
        </w:rPr>
      </w:pPr>
      <w:r w:rsidRPr="00BB35F0">
        <w:rPr>
          <w:rFonts w:cs="Arial"/>
          <w:color w:val="auto"/>
          <w:szCs w:val="20"/>
        </w:rPr>
        <w:t xml:space="preserve">Postponement </w:t>
      </w:r>
    </w:p>
    <w:p w:rsidR="00BB35F0" w:rsidRPr="00BB35F0" w:rsidRDefault="00BB35F0" w:rsidP="00BB35F0">
      <w:pPr>
        <w:pStyle w:val="ListParagraph"/>
        <w:ind w:left="0"/>
        <w:contextualSpacing w:val="0"/>
        <w:jc w:val="both"/>
        <w:rPr>
          <w:rFonts w:ascii="Arial" w:hAnsi="Arial" w:cs="Arial"/>
          <w:sz w:val="20"/>
          <w:szCs w:val="20"/>
        </w:rPr>
      </w:pPr>
      <w:r w:rsidRPr="00BB35F0">
        <w:rPr>
          <w:rFonts w:ascii="Arial" w:hAnsi="Arial" w:cs="Arial"/>
          <w:sz w:val="20"/>
          <w:szCs w:val="20"/>
        </w:rPr>
        <w:t xml:space="preserve">The Board </w:t>
      </w:r>
      <w:r>
        <w:rPr>
          <w:rFonts w:ascii="Arial" w:hAnsi="Arial" w:cs="Arial"/>
          <w:sz w:val="20"/>
          <w:szCs w:val="20"/>
        </w:rPr>
        <w:t>announced last week that the</w:t>
      </w:r>
      <w:r w:rsidRPr="00BB35F0">
        <w:rPr>
          <w:rFonts w:ascii="Arial" w:hAnsi="Arial" w:cs="Arial"/>
          <w:sz w:val="20"/>
          <w:szCs w:val="20"/>
        </w:rPr>
        <w:t xml:space="preserve"> implementation of the expiry of compounded parenteral medicines section in the guidelines has been postponed.</w:t>
      </w:r>
    </w:p>
    <w:p w:rsidR="00BB35F0" w:rsidRDefault="00BB35F0" w:rsidP="00BB35F0">
      <w:pPr>
        <w:pStyle w:val="ListParagraph"/>
        <w:ind w:left="0"/>
        <w:contextualSpacing w:val="0"/>
        <w:jc w:val="both"/>
        <w:rPr>
          <w:rFonts w:ascii="Arial" w:hAnsi="Arial" w:cs="Arial"/>
          <w:sz w:val="20"/>
          <w:szCs w:val="20"/>
        </w:rPr>
      </w:pPr>
      <w:r w:rsidRPr="00BB35F0">
        <w:rPr>
          <w:rFonts w:ascii="Arial" w:hAnsi="Arial" w:cs="Arial"/>
          <w:sz w:val="20"/>
          <w:szCs w:val="20"/>
        </w:rPr>
        <w:t xml:space="preserve">This means that the </w:t>
      </w:r>
      <w:r w:rsidR="0001471F" w:rsidRPr="0001471F">
        <w:rPr>
          <w:rFonts w:ascii="Arial" w:hAnsi="Arial" w:cs="Arial"/>
          <w:i/>
          <w:sz w:val="20"/>
          <w:szCs w:val="20"/>
        </w:rPr>
        <w:t>Expiry of compounded parenteral medicines</w:t>
      </w:r>
      <w:r w:rsidRPr="00BB35F0">
        <w:rPr>
          <w:rFonts w:ascii="Arial" w:hAnsi="Arial" w:cs="Arial"/>
          <w:sz w:val="20"/>
          <w:szCs w:val="20"/>
        </w:rPr>
        <w:t xml:space="preserve"> section of the guidelines does not come in to effect </w:t>
      </w:r>
      <w:r>
        <w:rPr>
          <w:rFonts w:ascii="Arial" w:hAnsi="Arial" w:cs="Arial"/>
          <w:sz w:val="20"/>
          <w:szCs w:val="20"/>
        </w:rPr>
        <w:t>today</w:t>
      </w:r>
      <w:r w:rsidRPr="00BB35F0">
        <w:rPr>
          <w:rFonts w:ascii="Arial" w:hAnsi="Arial" w:cs="Arial"/>
          <w:sz w:val="20"/>
          <w:szCs w:val="20"/>
        </w:rPr>
        <w:t>, and practitioners do not need to follow this guidance for now.</w:t>
      </w:r>
    </w:p>
    <w:p w:rsidR="00394A73" w:rsidRDefault="00394A73" w:rsidP="00394A73">
      <w:pPr>
        <w:pStyle w:val="ListParagraph"/>
        <w:ind w:left="0"/>
        <w:contextualSpacing w:val="0"/>
        <w:jc w:val="both"/>
        <w:rPr>
          <w:rFonts w:ascii="Arial" w:hAnsi="Arial" w:cs="Arial"/>
          <w:sz w:val="20"/>
          <w:szCs w:val="20"/>
        </w:rPr>
      </w:pPr>
      <w:r>
        <w:rPr>
          <w:rFonts w:ascii="Arial" w:hAnsi="Arial" w:cs="Arial"/>
          <w:sz w:val="20"/>
          <w:szCs w:val="20"/>
        </w:rPr>
        <w:t>The guidelines were published on the Board’s website in early March to allow pharmacists to become familiar with the content before implementation.</w:t>
      </w:r>
    </w:p>
    <w:p w:rsidR="00BB35F0" w:rsidRDefault="00BB35F0" w:rsidP="00BB35F0">
      <w:pPr>
        <w:pStyle w:val="ListParagraph"/>
        <w:ind w:left="0"/>
        <w:contextualSpacing w:val="0"/>
        <w:jc w:val="both"/>
        <w:rPr>
          <w:rFonts w:ascii="Arial" w:hAnsi="Arial" w:cs="Arial"/>
          <w:sz w:val="20"/>
          <w:szCs w:val="20"/>
        </w:rPr>
      </w:pPr>
      <w:r w:rsidRPr="00BB35F0">
        <w:rPr>
          <w:rFonts w:ascii="Arial" w:hAnsi="Arial" w:cs="Arial"/>
          <w:sz w:val="20"/>
          <w:szCs w:val="20"/>
        </w:rPr>
        <w:t>The Board recently received further feedback and information on its guidance about the expiry of compounded medicines that needs further investigation and review.</w:t>
      </w:r>
    </w:p>
    <w:p w:rsidR="00BB35F0" w:rsidRPr="00BB35F0" w:rsidRDefault="00BB35F0" w:rsidP="00BB35F0">
      <w:pPr>
        <w:pStyle w:val="ListParagraph"/>
        <w:ind w:left="0"/>
        <w:contextualSpacing w:val="0"/>
        <w:jc w:val="both"/>
        <w:rPr>
          <w:rFonts w:ascii="Arial" w:hAnsi="Arial" w:cs="Arial"/>
          <w:sz w:val="20"/>
          <w:szCs w:val="20"/>
        </w:rPr>
      </w:pPr>
      <w:r w:rsidRPr="00BB35F0">
        <w:rPr>
          <w:rFonts w:ascii="Arial" w:hAnsi="Arial" w:cs="Arial"/>
          <w:sz w:val="20"/>
          <w:szCs w:val="20"/>
        </w:rPr>
        <w:t>The Board will review the information and seek further views over th</w:t>
      </w:r>
      <w:r w:rsidR="00B01866">
        <w:rPr>
          <w:rFonts w:ascii="Arial" w:hAnsi="Arial" w:cs="Arial"/>
          <w:sz w:val="20"/>
          <w:szCs w:val="20"/>
        </w:rPr>
        <w:t>e next</w:t>
      </w:r>
      <w:r w:rsidRPr="00BB35F0">
        <w:rPr>
          <w:rFonts w:ascii="Arial" w:hAnsi="Arial" w:cs="Arial"/>
          <w:sz w:val="20"/>
          <w:szCs w:val="20"/>
        </w:rPr>
        <w:t xml:space="preserve"> three month</w:t>
      </w:r>
      <w:r w:rsidR="00B01866">
        <w:rPr>
          <w:rFonts w:ascii="Arial" w:hAnsi="Arial" w:cs="Arial"/>
          <w:sz w:val="20"/>
          <w:szCs w:val="20"/>
        </w:rPr>
        <w:t xml:space="preserve">s while </w:t>
      </w:r>
      <w:r w:rsidRPr="00BB35F0">
        <w:rPr>
          <w:rFonts w:ascii="Arial" w:hAnsi="Arial" w:cs="Arial"/>
          <w:sz w:val="20"/>
          <w:szCs w:val="20"/>
        </w:rPr>
        <w:t>working closely with the</w:t>
      </w:r>
      <w:r w:rsidR="00B01866">
        <w:rPr>
          <w:rFonts w:ascii="Arial" w:hAnsi="Arial" w:cs="Arial"/>
          <w:sz w:val="20"/>
          <w:szCs w:val="20"/>
        </w:rPr>
        <w:t xml:space="preserve"> Therapeutic Goods Administration</w:t>
      </w:r>
      <w:r w:rsidRPr="00BB35F0">
        <w:rPr>
          <w:rFonts w:ascii="Arial" w:hAnsi="Arial" w:cs="Arial"/>
          <w:sz w:val="20"/>
          <w:szCs w:val="20"/>
        </w:rPr>
        <w:t xml:space="preserve"> </w:t>
      </w:r>
      <w:r w:rsidR="00B01866">
        <w:rPr>
          <w:rFonts w:ascii="Arial" w:hAnsi="Arial" w:cs="Arial"/>
          <w:sz w:val="20"/>
          <w:szCs w:val="20"/>
        </w:rPr>
        <w:t>(</w:t>
      </w:r>
      <w:r w:rsidRPr="00BB35F0">
        <w:rPr>
          <w:rFonts w:ascii="Arial" w:hAnsi="Arial" w:cs="Arial"/>
          <w:sz w:val="20"/>
          <w:szCs w:val="20"/>
        </w:rPr>
        <w:t>TGA</w:t>
      </w:r>
      <w:r w:rsidR="00B01866">
        <w:rPr>
          <w:rFonts w:ascii="Arial" w:hAnsi="Arial" w:cs="Arial"/>
          <w:sz w:val="20"/>
          <w:szCs w:val="20"/>
        </w:rPr>
        <w:t>)</w:t>
      </w:r>
      <w:r w:rsidRPr="00BB35F0">
        <w:rPr>
          <w:rFonts w:ascii="Arial" w:hAnsi="Arial" w:cs="Arial"/>
          <w:sz w:val="20"/>
          <w:szCs w:val="20"/>
        </w:rPr>
        <w:t xml:space="preserve"> and other stakeholders.</w:t>
      </w:r>
    </w:p>
    <w:p w:rsidR="00BB35F0" w:rsidRPr="00BB35F0" w:rsidRDefault="00BB35F0" w:rsidP="00BB35F0">
      <w:pPr>
        <w:pStyle w:val="ListParagraph"/>
        <w:ind w:left="0"/>
        <w:contextualSpacing w:val="0"/>
        <w:jc w:val="both"/>
        <w:rPr>
          <w:rFonts w:ascii="Arial" w:hAnsi="Arial" w:cs="Arial"/>
          <w:sz w:val="20"/>
          <w:szCs w:val="20"/>
        </w:rPr>
      </w:pPr>
      <w:r w:rsidRPr="00BB35F0">
        <w:rPr>
          <w:rFonts w:ascii="Arial" w:hAnsi="Arial" w:cs="Arial"/>
          <w:sz w:val="20"/>
          <w:szCs w:val="20"/>
        </w:rPr>
        <w:t>To reflect this decision, the guidelines and FAQ have been updated.</w:t>
      </w:r>
    </w:p>
    <w:p w:rsidR="00D741EE" w:rsidRPr="007D14EB" w:rsidRDefault="00D741EE" w:rsidP="00DA1548">
      <w:pPr>
        <w:pStyle w:val="AHPRASubhead"/>
        <w:rPr>
          <w:rFonts w:cs="Arial"/>
          <w:color w:val="auto"/>
          <w:szCs w:val="20"/>
        </w:rPr>
      </w:pPr>
      <w:r w:rsidRPr="007D14EB">
        <w:rPr>
          <w:rFonts w:cs="Arial"/>
          <w:color w:val="auto"/>
          <w:szCs w:val="20"/>
        </w:rPr>
        <w:t>FAQ</w:t>
      </w:r>
    </w:p>
    <w:p w:rsidR="00054468" w:rsidRPr="00054468" w:rsidRDefault="00BB35F0" w:rsidP="00054468">
      <w:pPr>
        <w:pStyle w:val="ListParagraph"/>
        <w:ind w:left="0"/>
        <w:contextualSpacing w:val="0"/>
        <w:jc w:val="both"/>
        <w:rPr>
          <w:rFonts w:ascii="Arial" w:hAnsi="Arial" w:cs="Arial"/>
          <w:sz w:val="20"/>
          <w:szCs w:val="20"/>
        </w:rPr>
      </w:pPr>
      <w:r>
        <w:rPr>
          <w:rFonts w:ascii="Arial" w:hAnsi="Arial" w:cs="Arial"/>
          <w:sz w:val="20"/>
          <w:szCs w:val="20"/>
        </w:rPr>
        <w:t>The Board published</w:t>
      </w:r>
      <w:r w:rsidR="00054468" w:rsidRPr="00054468">
        <w:rPr>
          <w:rFonts w:ascii="Arial" w:hAnsi="Arial" w:cs="Arial"/>
          <w:sz w:val="20"/>
          <w:szCs w:val="20"/>
        </w:rPr>
        <w:t xml:space="preserve"> frequently asked questions (FAQ) to provide pharmacists and the public with additional information and clarification on a range of issues relating to the compounding of medicines. An email </w:t>
      </w:r>
      <w:r>
        <w:rPr>
          <w:rFonts w:ascii="Arial" w:hAnsi="Arial" w:cs="Arial"/>
          <w:sz w:val="20"/>
          <w:szCs w:val="20"/>
        </w:rPr>
        <w:t>was</w:t>
      </w:r>
      <w:r w:rsidR="00054468" w:rsidRPr="00054468">
        <w:rPr>
          <w:rFonts w:ascii="Arial" w:hAnsi="Arial" w:cs="Arial"/>
          <w:sz w:val="20"/>
          <w:szCs w:val="20"/>
        </w:rPr>
        <w:t xml:space="preserve"> sent out to all </w:t>
      </w:r>
      <w:r>
        <w:rPr>
          <w:rFonts w:ascii="Arial" w:hAnsi="Arial" w:cs="Arial"/>
          <w:sz w:val="20"/>
          <w:szCs w:val="20"/>
        </w:rPr>
        <w:t>pharmacists</w:t>
      </w:r>
      <w:r w:rsidR="00054468" w:rsidRPr="00054468">
        <w:rPr>
          <w:rFonts w:ascii="Arial" w:hAnsi="Arial" w:cs="Arial"/>
          <w:sz w:val="20"/>
          <w:szCs w:val="20"/>
        </w:rPr>
        <w:t xml:space="preserve"> about publication of the FAQ.</w:t>
      </w:r>
    </w:p>
    <w:p w:rsidR="00054468" w:rsidRPr="00054468" w:rsidRDefault="00054468" w:rsidP="00054468">
      <w:pPr>
        <w:pStyle w:val="ListParagraph"/>
        <w:ind w:left="0"/>
        <w:contextualSpacing w:val="0"/>
        <w:jc w:val="both"/>
        <w:rPr>
          <w:rFonts w:ascii="Arial" w:hAnsi="Arial" w:cs="Arial"/>
          <w:sz w:val="20"/>
          <w:szCs w:val="20"/>
        </w:rPr>
      </w:pPr>
      <w:r w:rsidRPr="00054468">
        <w:rPr>
          <w:rFonts w:ascii="Arial" w:hAnsi="Arial" w:cs="Arial"/>
          <w:sz w:val="20"/>
          <w:szCs w:val="20"/>
        </w:rPr>
        <w:t xml:space="preserve">The FAQ, published on the </w:t>
      </w:r>
      <w:hyperlink r:id="rId8" w:history="1">
        <w:r w:rsidRPr="00054468">
          <w:rPr>
            <w:rStyle w:val="Hyperlink"/>
            <w:rFonts w:ascii="Arial" w:hAnsi="Arial" w:cs="Arial"/>
            <w:sz w:val="20"/>
            <w:szCs w:val="20"/>
          </w:rPr>
          <w:t>FAQ and Fact Sheets</w:t>
        </w:r>
      </w:hyperlink>
      <w:r w:rsidRPr="00054468">
        <w:rPr>
          <w:rFonts w:ascii="Arial" w:hAnsi="Arial" w:cs="Arial"/>
          <w:sz w:val="20"/>
          <w:szCs w:val="20"/>
        </w:rPr>
        <w:t xml:space="preserve"> page of the Board’s website, should be considered alongside the Board’s </w:t>
      </w:r>
      <w:r w:rsidRPr="00054468">
        <w:rPr>
          <w:rFonts w:ascii="Arial" w:hAnsi="Arial" w:cs="Arial"/>
          <w:i/>
          <w:iCs/>
          <w:sz w:val="20"/>
          <w:szCs w:val="20"/>
        </w:rPr>
        <w:t>Guidelines on compounding of medicines</w:t>
      </w:r>
      <w:r w:rsidRPr="00054468">
        <w:rPr>
          <w:rFonts w:ascii="Arial" w:hAnsi="Arial" w:cs="Arial"/>
          <w:sz w:val="20"/>
          <w:szCs w:val="20"/>
        </w:rPr>
        <w:t xml:space="preserve"> (the guidelines), any documents referred to in the guidelines and the </w:t>
      </w:r>
      <w:r w:rsidRPr="00054468">
        <w:rPr>
          <w:rFonts w:ascii="Arial" w:hAnsi="Arial" w:cs="Arial"/>
          <w:i/>
          <w:iCs/>
          <w:sz w:val="20"/>
          <w:szCs w:val="20"/>
        </w:rPr>
        <w:t xml:space="preserve">Background on the regulation of compounding </w:t>
      </w:r>
      <w:r w:rsidRPr="00054468">
        <w:rPr>
          <w:rFonts w:ascii="Arial" w:hAnsi="Arial" w:cs="Arial"/>
          <w:sz w:val="20"/>
          <w:szCs w:val="20"/>
        </w:rPr>
        <w:t xml:space="preserve">by pharmacists found on the </w:t>
      </w:r>
      <w:hyperlink r:id="rId9" w:history="1">
        <w:r w:rsidRPr="00054468">
          <w:rPr>
            <w:rStyle w:val="Hyperlink"/>
            <w:rFonts w:ascii="Arial" w:hAnsi="Arial" w:cs="Arial"/>
            <w:sz w:val="20"/>
            <w:szCs w:val="20"/>
          </w:rPr>
          <w:t>Codes and guidelines</w:t>
        </w:r>
      </w:hyperlink>
      <w:r w:rsidRPr="00054468">
        <w:rPr>
          <w:rFonts w:ascii="Arial" w:hAnsi="Arial" w:cs="Arial"/>
          <w:color w:val="444444"/>
          <w:sz w:val="20"/>
          <w:szCs w:val="20"/>
        </w:rPr>
        <w:t xml:space="preserve"> </w:t>
      </w:r>
      <w:r w:rsidRPr="00054468">
        <w:rPr>
          <w:rFonts w:ascii="Arial" w:hAnsi="Arial" w:cs="Arial"/>
          <w:sz w:val="20"/>
          <w:szCs w:val="20"/>
        </w:rPr>
        <w:t>page.</w:t>
      </w:r>
    </w:p>
    <w:p w:rsidR="00054468" w:rsidRPr="00A4276B" w:rsidRDefault="00054468" w:rsidP="00A4276B">
      <w:pPr>
        <w:pStyle w:val="ListParagraph"/>
        <w:ind w:left="0"/>
        <w:contextualSpacing w:val="0"/>
        <w:jc w:val="both"/>
        <w:rPr>
          <w:rFonts w:ascii="Arial" w:hAnsi="Arial" w:cs="Arial"/>
          <w:sz w:val="20"/>
          <w:szCs w:val="20"/>
        </w:rPr>
      </w:pPr>
      <w:r w:rsidRPr="00A4276B">
        <w:rPr>
          <w:rFonts w:ascii="Arial" w:hAnsi="Arial" w:cs="Arial"/>
          <w:sz w:val="20"/>
          <w:szCs w:val="20"/>
        </w:rPr>
        <w:t>The</w:t>
      </w:r>
      <w:r w:rsidR="00E02D1D">
        <w:rPr>
          <w:rFonts w:ascii="Arial" w:hAnsi="Arial" w:cs="Arial"/>
          <w:sz w:val="20"/>
          <w:szCs w:val="20"/>
        </w:rPr>
        <w:t xml:space="preserve"> </w:t>
      </w:r>
      <w:r w:rsidR="00E02D1D">
        <w:rPr>
          <w:rFonts w:ascii="Arial" w:hAnsi="Arial" w:cs="Arial"/>
          <w:i/>
          <w:sz w:val="20"/>
          <w:szCs w:val="20"/>
        </w:rPr>
        <w:t>Guidelines for compounding of medicines</w:t>
      </w:r>
      <w:r w:rsidRPr="00A4276B">
        <w:rPr>
          <w:rFonts w:ascii="Arial" w:hAnsi="Arial" w:cs="Arial"/>
          <w:sz w:val="20"/>
          <w:szCs w:val="20"/>
        </w:rPr>
        <w:t xml:space="preserve"> were subject to wide-ranging consultation and replace </w:t>
      </w:r>
      <w:r w:rsidR="00102E74" w:rsidRPr="00102E74">
        <w:rPr>
          <w:rFonts w:ascii="Arial" w:hAnsi="Arial" w:cs="Arial"/>
          <w:sz w:val="20"/>
          <w:szCs w:val="20"/>
        </w:rPr>
        <w:t>Guideline 5</w:t>
      </w:r>
      <w:r w:rsidRPr="00A4276B">
        <w:rPr>
          <w:rFonts w:ascii="Arial" w:hAnsi="Arial" w:cs="Arial"/>
          <w:i/>
          <w:sz w:val="20"/>
          <w:szCs w:val="20"/>
        </w:rPr>
        <w:t xml:space="preserve"> Extemporaneous dispensing (compounding)</w:t>
      </w:r>
      <w:r w:rsidRPr="00A4276B">
        <w:rPr>
          <w:rFonts w:ascii="Arial" w:hAnsi="Arial" w:cs="Arial"/>
          <w:sz w:val="20"/>
          <w:szCs w:val="20"/>
        </w:rPr>
        <w:t xml:space="preserve"> from the Board’s </w:t>
      </w:r>
      <w:r w:rsidRPr="00A4276B">
        <w:rPr>
          <w:rFonts w:ascii="Arial" w:hAnsi="Arial" w:cs="Arial"/>
          <w:i/>
          <w:sz w:val="20"/>
          <w:szCs w:val="20"/>
        </w:rPr>
        <w:t>Guidelines for dispensing of medicines</w:t>
      </w:r>
      <w:r w:rsidRPr="00A4276B">
        <w:rPr>
          <w:rFonts w:ascii="Arial" w:hAnsi="Arial" w:cs="Arial"/>
          <w:sz w:val="20"/>
          <w:szCs w:val="20"/>
        </w:rPr>
        <w:t xml:space="preserve">. Guideline 5 is in effect </w:t>
      </w:r>
      <w:r w:rsidR="00A4276B">
        <w:rPr>
          <w:rFonts w:ascii="Arial" w:hAnsi="Arial" w:cs="Arial"/>
          <w:sz w:val="20"/>
          <w:szCs w:val="20"/>
        </w:rPr>
        <w:t>until</w:t>
      </w:r>
      <w:r w:rsidRPr="00A4276B">
        <w:rPr>
          <w:rFonts w:ascii="Arial" w:hAnsi="Arial" w:cs="Arial"/>
          <w:sz w:val="20"/>
          <w:szCs w:val="20"/>
        </w:rPr>
        <w:t xml:space="preserve"> </w:t>
      </w:r>
      <w:r w:rsidR="00A4276B">
        <w:rPr>
          <w:rFonts w:ascii="Arial" w:hAnsi="Arial" w:cs="Arial"/>
          <w:sz w:val="20"/>
          <w:szCs w:val="20"/>
        </w:rPr>
        <w:t>27</w:t>
      </w:r>
      <w:r w:rsidRPr="00A4276B">
        <w:rPr>
          <w:rFonts w:ascii="Arial" w:hAnsi="Arial" w:cs="Arial"/>
          <w:sz w:val="20"/>
          <w:szCs w:val="20"/>
        </w:rPr>
        <w:t xml:space="preserve"> April 2015.</w:t>
      </w:r>
    </w:p>
    <w:p w:rsidR="00054468" w:rsidRDefault="002D710B" w:rsidP="00DA1548">
      <w:pPr>
        <w:pStyle w:val="AHPRAbody0"/>
        <w:tabs>
          <w:tab w:val="left" w:pos="0"/>
        </w:tabs>
        <w:rPr>
          <w:rFonts w:cs="Arial"/>
          <w:b/>
          <w:bCs/>
          <w:color w:val="008EC4"/>
          <w:szCs w:val="20"/>
        </w:rPr>
      </w:pPr>
      <w:r>
        <w:rPr>
          <w:rFonts w:cs="Arial"/>
          <w:b/>
          <w:bCs/>
          <w:color w:val="008EC4"/>
          <w:szCs w:val="20"/>
        </w:rPr>
        <w:t xml:space="preserve">Accessing the </w:t>
      </w:r>
      <w:r w:rsidR="00095482">
        <w:rPr>
          <w:rFonts w:cs="Arial"/>
          <w:b/>
          <w:bCs/>
          <w:color w:val="008EC4"/>
          <w:szCs w:val="20"/>
        </w:rPr>
        <w:t>n</w:t>
      </w:r>
      <w:r>
        <w:rPr>
          <w:rFonts w:cs="Arial"/>
          <w:b/>
          <w:bCs/>
          <w:color w:val="008EC4"/>
          <w:szCs w:val="20"/>
        </w:rPr>
        <w:t xml:space="preserve">ational </w:t>
      </w:r>
      <w:r w:rsidR="00095482">
        <w:rPr>
          <w:rFonts w:cs="Arial"/>
          <w:b/>
          <w:bCs/>
          <w:color w:val="008EC4"/>
          <w:szCs w:val="20"/>
        </w:rPr>
        <w:t>r</w:t>
      </w:r>
      <w:r>
        <w:rPr>
          <w:rFonts w:cs="Arial"/>
          <w:b/>
          <w:bCs/>
          <w:color w:val="008EC4"/>
          <w:szCs w:val="20"/>
        </w:rPr>
        <w:t>egister</w:t>
      </w:r>
      <w:r w:rsidR="00095482">
        <w:rPr>
          <w:rFonts w:cs="Arial"/>
          <w:b/>
          <w:bCs/>
          <w:color w:val="008EC4"/>
          <w:szCs w:val="20"/>
        </w:rPr>
        <w:t xml:space="preserve"> of practitioners</w:t>
      </w:r>
    </w:p>
    <w:p w:rsidR="002D710B" w:rsidRPr="002D710B" w:rsidRDefault="002D710B" w:rsidP="00700C4E">
      <w:pPr>
        <w:spacing w:after="200" w:line="276" w:lineRule="auto"/>
        <w:rPr>
          <w:rFonts w:ascii="Arial" w:hAnsi="Arial" w:cs="Arial"/>
          <w:sz w:val="20"/>
          <w:szCs w:val="20"/>
        </w:rPr>
      </w:pPr>
      <w:r w:rsidRPr="002D710B">
        <w:rPr>
          <w:rFonts w:ascii="Arial" w:hAnsi="Arial" w:cs="Arial"/>
          <w:sz w:val="20"/>
          <w:szCs w:val="20"/>
        </w:rPr>
        <w:t>The</w:t>
      </w:r>
      <w:r w:rsidR="00095482">
        <w:rPr>
          <w:rFonts w:ascii="Arial" w:hAnsi="Arial" w:cs="Arial"/>
          <w:sz w:val="20"/>
          <w:szCs w:val="20"/>
        </w:rPr>
        <w:t xml:space="preserve"> online</w:t>
      </w:r>
      <w:r>
        <w:rPr>
          <w:rFonts w:ascii="Arial" w:hAnsi="Arial" w:cs="Arial"/>
          <w:sz w:val="20"/>
          <w:szCs w:val="20"/>
        </w:rPr>
        <w:t xml:space="preserve"> </w:t>
      </w:r>
      <w:hyperlink r:id="rId10" w:history="1">
        <w:r w:rsidRPr="002D710B">
          <w:rPr>
            <w:rStyle w:val="Hyperlink"/>
            <w:rFonts w:ascii="Arial" w:hAnsi="Arial" w:cs="Arial"/>
            <w:sz w:val="20"/>
            <w:szCs w:val="20"/>
          </w:rPr>
          <w:t>n</w:t>
        </w:r>
        <w:r w:rsidR="00095482">
          <w:rPr>
            <w:rStyle w:val="Hyperlink"/>
            <w:rFonts w:ascii="Arial" w:hAnsi="Arial" w:cs="Arial"/>
            <w:sz w:val="20"/>
            <w:szCs w:val="20"/>
          </w:rPr>
          <w:t>ational</w:t>
        </w:r>
        <w:r w:rsidRPr="002D710B">
          <w:rPr>
            <w:rStyle w:val="Hyperlink"/>
            <w:rFonts w:ascii="Arial" w:hAnsi="Arial" w:cs="Arial"/>
            <w:sz w:val="20"/>
            <w:szCs w:val="20"/>
          </w:rPr>
          <w:t xml:space="preserve"> register of practitioners</w:t>
        </w:r>
      </w:hyperlink>
      <w:r w:rsidRPr="002D710B">
        <w:rPr>
          <w:rFonts w:ascii="Arial" w:hAnsi="Arial" w:cs="Arial"/>
          <w:sz w:val="20"/>
          <w:szCs w:val="20"/>
        </w:rPr>
        <w:t xml:space="preserve"> has accurate, up</w:t>
      </w:r>
      <w:r w:rsidR="00095482">
        <w:rPr>
          <w:rFonts w:ascii="Arial" w:hAnsi="Arial" w:cs="Arial"/>
          <w:sz w:val="20"/>
          <w:szCs w:val="20"/>
        </w:rPr>
        <w:t>-</w:t>
      </w:r>
      <w:r w:rsidRPr="002D710B">
        <w:rPr>
          <w:rFonts w:ascii="Arial" w:hAnsi="Arial" w:cs="Arial"/>
          <w:sz w:val="20"/>
          <w:szCs w:val="20"/>
        </w:rPr>
        <w:t>to</w:t>
      </w:r>
      <w:r w:rsidR="00095482">
        <w:rPr>
          <w:rFonts w:ascii="Arial" w:hAnsi="Arial" w:cs="Arial"/>
          <w:sz w:val="20"/>
          <w:szCs w:val="20"/>
        </w:rPr>
        <w:t>-</w:t>
      </w:r>
      <w:r w:rsidRPr="002D710B">
        <w:rPr>
          <w:rFonts w:ascii="Arial" w:hAnsi="Arial" w:cs="Arial"/>
          <w:sz w:val="20"/>
          <w:szCs w:val="20"/>
        </w:rPr>
        <w:t xml:space="preserve">date information about the registration status of all registered health practitioners in Australia. It is an important way the National Registration and Accreditation Scheme </w:t>
      </w:r>
      <w:r w:rsidR="00095482">
        <w:rPr>
          <w:rFonts w:ascii="Arial" w:hAnsi="Arial" w:cs="Arial"/>
          <w:sz w:val="20"/>
          <w:szCs w:val="20"/>
        </w:rPr>
        <w:t xml:space="preserve">(the National Scheme) </w:t>
      </w:r>
      <w:r w:rsidRPr="002D710B">
        <w:rPr>
          <w:rFonts w:ascii="Arial" w:hAnsi="Arial" w:cs="Arial"/>
          <w:sz w:val="20"/>
          <w:szCs w:val="20"/>
        </w:rPr>
        <w:t>helps keep the public safe.</w:t>
      </w:r>
    </w:p>
    <w:p w:rsidR="002D710B" w:rsidRDefault="00D9060E" w:rsidP="00700C4E">
      <w:pPr>
        <w:spacing w:after="200" w:line="276" w:lineRule="auto"/>
        <w:rPr>
          <w:rFonts w:ascii="Arial" w:hAnsi="Arial" w:cs="Arial"/>
          <w:bCs/>
          <w:sz w:val="20"/>
          <w:szCs w:val="20"/>
        </w:rPr>
      </w:pPr>
      <w:r>
        <w:rPr>
          <w:rFonts w:ascii="Arial" w:hAnsi="Arial" w:cs="Arial"/>
          <w:sz w:val="20"/>
          <w:szCs w:val="20"/>
        </w:rPr>
        <w:t xml:space="preserve">A copy of </w:t>
      </w:r>
      <w:r w:rsidR="002D710B" w:rsidRPr="00D9060E">
        <w:rPr>
          <w:rFonts w:ascii="Arial" w:hAnsi="Arial" w:cs="Arial"/>
          <w:bCs/>
          <w:i/>
          <w:sz w:val="20"/>
          <w:szCs w:val="20"/>
        </w:rPr>
        <w:t>Top tips: Using the register for public safety checks</w:t>
      </w:r>
      <w:r w:rsidR="002D710B">
        <w:rPr>
          <w:rFonts w:ascii="Arial" w:hAnsi="Arial" w:cs="Arial"/>
          <w:bCs/>
          <w:sz w:val="20"/>
          <w:szCs w:val="20"/>
        </w:rPr>
        <w:t xml:space="preserve"> </w:t>
      </w:r>
      <w:r>
        <w:rPr>
          <w:rFonts w:ascii="Arial" w:hAnsi="Arial" w:cs="Arial"/>
          <w:bCs/>
          <w:sz w:val="20"/>
          <w:szCs w:val="20"/>
        </w:rPr>
        <w:t xml:space="preserve">can be downloaded from the Australian Health Practitioner Regulation Agency (AHPRA) </w:t>
      </w:r>
      <w:hyperlink r:id="rId11" w:history="1">
        <w:r w:rsidRPr="00D9060E">
          <w:rPr>
            <w:rStyle w:val="Hyperlink"/>
            <w:rFonts w:ascii="Arial" w:hAnsi="Arial" w:cs="Arial"/>
            <w:bCs/>
            <w:sz w:val="20"/>
            <w:szCs w:val="20"/>
          </w:rPr>
          <w:t>website</w:t>
        </w:r>
      </w:hyperlink>
      <w:r>
        <w:rPr>
          <w:rFonts w:ascii="Arial" w:hAnsi="Arial" w:cs="Arial"/>
          <w:bCs/>
          <w:sz w:val="20"/>
          <w:szCs w:val="20"/>
        </w:rPr>
        <w:t>.</w:t>
      </w:r>
    </w:p>
    <w:p w:rsidR="00D9060E" w:rsidRPr="00D9060E" w:rsidRDefault="00D9060E" w:rsidP="00700C4E">
      <w:pPr>
        <w:spacing w:after="200" w:line="276" w:lineRule="auto"/>
        <w:rPr>
          <w:rFonts w:ascii="Arial" w:hAnsi="Arial" w:cs="Arial"/>
          <w:bCs/>
          <w:sz w:val="20"/>
          <w:szCs w:val="20"/>
        </w:rPr>
      </w:pPr>
      <w:r>
        <w:rPr>
          <w:rFonts w:ascii="Arial" w:hAnsi="Arial" w:cs="Arial"/>
          <w:bCs/>
          <w:sz w:val="20"/>
          <w:szCs w:val="20"/>
        </w:rPr>
        <w:lastRenderedPageBreak/>
        <w:t>L</w:t>
      </w:r>
      <w:r w:rsidRPr="00D9060E">
        <w:rPr>
          <w:rFonts w:ascii="Arial" w:hAnsi="Arial" w:cs="Arial"/>
          <w:bCs/>
          <w:sz w:val="20"/>
          <w:szCs w:val="20"/>
        </w:rPr>
        <w:t>arge-scale employers</w:t>
      </w:r>
      <w:r>
        <w:rPr>
          <w:rFonts w:ascii="Arial" w:hAnsi="Arial" w:cs="Arial"/>
          <w:bCs/>
          <w:sz w:val="20"/>
          <w:szCs w:val="20"/>
        </w:rPr>
        <w:t xml:space="preserve"> can also enquire with AHPRA about the</w:t>
      </w:r>
      <w:r w:rsidRPr="00D9060E">
        <w:rPr>
          <w:rFonts w:ascii="Arial" w:hAnsi="Arial" w:cs="Arial"/>
          <w:bCs/>
          <w:sz w:val="20"/>
          <w:szCs w:val="20"/>
        </w:rPr>
        <w:t xml:space="preserve"> online subscri</w:t>
      </w:r>
      <w:r>
        <w:rPr>
          <w:rFonts w:ascii="Arial" w:hAnsi="Arial" w:cs="Arial"/>
          <w:bCs/>
          <w:sz w:val="20"/>
          <w:szCs w:val="20"/>
        </w:rPr>
        <w:t xml:space="preserve">ption service where an employer </w:t>
      </w:r>
      <w:r w:rsidRPr="00D9060E">
        <w:rPr>
          <w:rFonts w:ascii="Arial" w:hAnsi="Arial" w:cs="Arial"/>
          <w:bCs/>
          <w:sz w:val="20"/>
          <w:szCs w:val="20"/>
        </w:rPr>
        <w:t>can request the publically available registration details of multiple practitioners</w:t>
      </w:r>
      <w:r>
        <w:rPr>
          <w:rFonts w:ascii="Arial" w:hAnsi="Arial" w:cs="Arial"/>
          <w:bCs/>
          <w:sz w:val="20"/>
          <w:szCs w:val="20"/>
        </w:rPr>
        <w:t xml:space="preserve">. </w:t>
      </w:r>
      <w:r w:rsidRPr="00D9060E">
        <w:rPr>
          <w:rFonts w:ascii="Arial" w:hAnsi="Arial" w:cs="Arial"/>
          <w:bCs/>
          <w:sz w:val="20"/>
          <w:szCs w:val="20"/>
        </w:rPr>
        <w:t xml:space="preserve">On the </w:t>
      </w:r>
      <w:hyperlink r:id="rId12" w:history="1">
        <w:r w:rsidRPr="00D9060E">
          <w:rPr>
            <w:rStyle w:val="Hyperlink"/>
            <w:rFonts w:ascii="Arial" w:hAnsi="Arial" w:cs="Arial"/>
            <w:bCs/>
            <w:sz w:val="20"/>
            <w:szCs w:val="20"/>
          </w:rPr>
          <w:t>enquiry form</w:t>
        </w:r>
      </w:hyperlink>
      <w:r w:rsidRPr="00D9060E">
        <w:rPr>
          <w:rFonts w:ascii="Arial" w:hAnsi="Arial" w:cs="Arial"/>
          <w:bCs/>
          <w:sz w:val="20"/>
          <w:szCs w:val="20"/>
        </w:rPr>
        <w:t xml:space="preserve">, please select </w:t>
      </w:r>
      <w:r w:rsidR="00095482">
        <w:rPr>
          <w:rFonts w:ascii="Arial" w:hAnsi="Arial" w:cs="Arial"/>
          <w:bCs/>
          <w:sz w:val="20"/>
          <w:szCs w:val="20"/>
        </w:rPr>
        <w:t>‘</w:t>
      </w:r>
      <w:r w:rsidRPr="00D9060E">
        <w:rPr>
          <w:rFonts w:ascii="Arial" w:hAnsi="Arial" w:cs="Arial"/>
          <w:bCs/>
          <w:sz w:val="20"/>
          <w:szCs w:val="20"/>
        </w:rPr>
        <w:t>Online Services - Employer</w:t>
      </w:r>
      <w:r w:rsidR="00095482">
        <w:rPr>
          <w:rFonts w:ascii="Arial" w:hAnsi="Arial" w:cs="Arial"/>
          <w:bCs/>
          <w:sz w:val="20"/>
          <w:szCs w:val="20"/>
        </w:rPr>
        <w:t>’</w:t>
      </w:r>
      <w:r w:rsidRPr="00D9060E">
        <w:rPr>
          <w:rFonts w:ascii="Arial" w:hAnsi="Arial" w:cs="Arial"/>
          <w:bCs/>
          <w:sz w:val="20"/>
          <w:szCs w:val="20"/>
        </w:rPr>
        <w:t xml:space="preserve"> in the drop down menu for </w:t>
      </w:r>
      <w:r w:rsidR="00095482">
        <w:rPr>
          <w:rFonts w:ascii="Arial" w:hAnsi="Arial" w:cs="Arial"/>
          <w:bCs/>
          <w:sz w:val="20"/>
          <w:szCs w:val="20"/>
        </w:rPr>
        <w:t>‘</w:t>
      </w:r>
      <w:r w:rsidRPr="00D9060E">
        <w:rPr>
          <w:rFonts w:ascii="Arial" w:hAnsi="Arial" w:cs="Arial"/>
          <w:bCs/>
          <w:sz w:val="20"/>
          <w:szCs w:val="20"/>
        </w:rPr>
        <w:t>category of enquiry</w:t>
      </w:r>
      <w:r w:rsidR="00095482">
        <w:rPr>
          <w:rFonts w:ascii="Arial" w:hAnsi="Arial" w:cs="Arial"/>
          <w:bCs/>
          <w:sz w:val="20"/>
          <w:szCs w:val="20"/>
        </w:rPr>
        <w:t>’</w:t>
      </w:r>
      <w:r w:rsidRPr="00D9060E">
        <w:rPr>
          <w:rFonts w:ascii="Arial" w:hAnsi="Arial" w:cs="Arial"/>
          <w:bCs/>
          <w:sz w:val="20"/>
          <w:szCs w:val="20"/>
        </w:rPr>
        <w:t>. After submitting your request, you will be contacted directly by an AHPRA staff member to validate your identity and eligibility to use the service.</w:t>
      </w:r>
    </w:p>
    <w:p w:rsidR="00571EFA" w:rsidRPr="00EE15BD" w:rsidRDefault="00571EFA" w:rsidP="00DA1548">
      <w:pPr>
        <w:pStyle w:val="AHPRAbody0"/>
        <w:tabs>
          <w:tab w:val="left" w:pos="0"/>
        </w:tabs>
        <w:rPr>
          <w:rFonts w:cs="Arial"/>
          <w:b/>
          <w:bCs/>
          <w:color w:val="008EC4"/>
          <w:szCs w:val="20"/>
        </w:rPr>
      </w:pPr>
      <w:r w:rsidRPr="00EE15BD">
        <w:rPr>
          <w:rFonts w:cs="Arial"/>
          <w:b/>
          <w:bCs/>
          <w:color w:val="008EC4"/>
          <w:szCs w:val="20"/>
        </w:rPr>
        <w:t>Public consultation on guidelines</w:t>
      </w:r>
      <w:r>
        <w:rPr>
          <w:rFonts w:cs="Arial"/>
          <w:b/>
          <w:bCs/>
          <w:color w:val="008EC4"/>
          <w:szCs w:val="20"/>
        </w:rPr>
        <w:t xml:space="preserve"> closes 1 May 2015</w:t>
      </w:r>
    </w:p>
    <w:p w:rsidR="00571EFA" w:rsidRPr="00DA1548" w:rsidRDefault="00571EFA" w:rsidP="00DA1548">
      <w:pPr>
        <w:pStyle w:val="Default"/>
        <w:spacing w:after="200"/>
        <w:rPr>
          <w:color w:val="auto"/>
          <w:sz w:val="20"/>
          <w:szCs w:val="20"/>
        </w:rPr>
      </w:pPr>
      <w:r w:rsidRPr="00DA1548">
        <w:rPr>
          <w:color w:val="auto"/>
          <w:sz w:val="20"/>
          <w:szCs w:val="20"/>
        </w:rPr>
        <w:t>The Board is currently consulting on the following revised guidelines:</w:t>
      </w:r>
    </w:p>
    <w:p w:rsidR="00571EFA" w:rsidRPr="00DA1548" w:rsidRDefault="00571EFA" w:rsidP="00DA1548">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for dispensing of medicines</w:t>
      </w:r>
    </w:p>
    <w:p w:rsidR="00571EFA" w:rsidRPr="00DA1548" w:rsidRDefault="00571EFA" w:rsidP="00DA1548">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on practice-specific issues</w:t>
      </w:r>
    </w:p>
    <w:p w:rsidR="00571EFA" w:rsidRPr="00DA1548" w:rsidRDefault="00571EFA" w:rsidP="00DA1548">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on dose administration aids and staged supply of dispensed medicines</w:t>
      </w:r>
      <w:r w:rsidRPr="00DA1548">
        <w:rPr>
          <w:rStyle w:val="FootnoteReference"/>
          <w:i/>
          <w:lang w:val="en-US"/>
        </w:rPr>
        <w:footnoteReference w:id="1"/>
      </w:r>
    </w:p>
    <w:p w:rsidR="00571EFA" w:rsidRPr="00DA1548" w:rsidRDefault="00571EFA" w:rsidP="00DA1548">
      <w:pPr>
        <w:pStyle w:val="AHPRANumberedlistlevel2"/>
        <w:numPr>
          <w:ilvl w:val="0"/>
          <w:numId w:val="6"/>
        </w:numPr>
        <w:tabs>
          <w:tab w:val="left" w:pos="426"/>
        </w:tabs>
        <w:spacing w:after="200"/>
        <w:rPr>
          <w:rFonts w:cs="Arial"/>
          <w:szCs w:val="20"/>
        </w:rPr>
      </w:pPr>
      <w:r w:rsidRPr="00DA1548">
        <w:rPr>
          <w:i/>
          <w:lang w:val="en-US"/>
        </w:rPr>
        <w:t>Guidelines for proprietor pharmacists</w:t>
      </w:r>
      <w:r w:rsidRPr="00DA1548">
        <w:rPr>
          <w:rStyle w:val="FootnoteReference"/>
          <w:i/>
          <w:lang w:val="en-US"/>
        </w:rPr>
        <w:footnoteReference w:id="2"/>
      </w:r>
      <w:r w:rsidR="00947E81">
        <w:rPr>
          <w:i/>
          <w:lang w:val="en-US"/>
        </w:rPr>
        <w:t>.</w:t>
      </w:r>
    </w:p>
    <w:p w:rsidR="00571EFA" w:rsidRPr="00DA1548" w:rsidRDefault="00571EFA" w:rsidP="00DA1548">
      <w:pPr>
        <w:shd w:val="clear" w:color="auto" w:fill="FFFFFF"/>
        <w:spacing w:after="200" w:line="270" w:lineRule="atLeast"/>
        <w:ind w:right="270"/>
        <w:rPr>
          <w:rFonts w:ascii="Arial" w:hAnsi="Arial" w:cs="Arial"/>
          <w:sz w:val="20"/>
          <w:szCs w:val="20"/>
        </w:rPr>
      </w:pPr>
      <w:r w:rsidRPr="00DA1548">
        <w:rPr>
          <w:rFonts w:ascii="Arial" w:hAnsi="Arial" w:cs="Arial"/>
          <w:sz w:val="20"/>
          <w:szCs w:val="20"/>
        </w:rPr>
        <w:t xml:space="preserve">The consultation paper is published under </w:t>
      </w:r>
      <w:hyperlink r:id="rId13" w:history="1">
        <w:r w:rsidR="00D8632A" w:rsidRPr="00D8632A">
          <w:rPr>
            <w:rStyle w:val="Hyperlink"/>
            <w:rFonts w:ascii="Arial" w:hAnsi="Arial" w:cs="Arial"/>
            <w:sz w:val="20"/>
            <w:szCs w:val="20"/>
          </w:rPr>
          <w:t>Current consultations</w:t>
        </w:r>
      </w:hyperlink>
      <w:r w:rsidRPr="00DA1548">
        <w:rPr>
          <w:rFonts w:ascii="Arial" w:hAnsi="Arial" w:cs="Arial"/>
          <w:sz w:val="20"/>
          <w:szCs w:val="20"/>
        </w:rPr>
        <w:t xml:space="preserve"> on the Board’s website. </w:t>
      </w:r>
    </w:p>
    <w:p w:rsidR="00571EFA" w:rsidRDefault="00571EFA" w:rsidP="00DA1548">
      <w:pPr>
        <w:shd w:val="clear" w:color="auto" w:fill="FFFFFF"/>
        <w:spacing w:after="200" w:line="270" w:lineRule="atLeast"/>
        <w:ind w:right="272"/>
        <w:rPr>
          <w:rFonts w:ascii="Arial" w:hAnsi="Arial" w:cs="Arial"/>
          <w:sz w:val="20"/>
          <w:szCs w:val="20"/>
        </w:rPr>
      </w:pPr>
      <w:r w:rsidRPr="00DA1548">
        <w:rPr>
          <w:rFonts w:ascii="Arial" w:hAnsi="Arial" w:cs="Arial"/>
          <w:sz w:val="20"/>
          <w:szCs w:val="20"/>
        </w:rPr>
        <w:t>Consultation will close on 1 May 2015 and the community, stakeholders, pharmacists and other health practitioners are welcome to make a submission.</w:t>
      </w:r>
    </w:p>
    <w:p w:rsidR="00095482" w:rsidRPr="00985BD9" w:rsidRDefault="00095482" w:rsidP="00985BD9">
      <w:pPr>
        <w:pStyle w:val="AHPRAbody0"/>
        <w:tabs>
          <w:tab w:val="left" w:pos="0"/>
        </w:tabs>
        <w:rPr>
          <w:rFonts w:cs="Arial"/>
          <w:b/>
          <w:bCs/>
          <w:color w:val="008EC4"/>
          <w:szCs w:val="20"/>
        </w:rPr>
      </w:pPr>
      <w:r w:rsidRPr="00985BD9">
        <w:rPr>
          <w:rFonts w:cs="Arial"/>
          <w:b/>
          <w:bCs/>
          <w:color w:val="008EC4"/>
          <w:szCs w:val="20"/>
        </w:rPr>
        <w:t>Improving monitoring of conditions on practitioner registration</w:t>
      </w:r>
    </w:p>
    <w:p w:rsidR="00095482" w:rsidRDefault="00095482" w:rsidP="00985BD9">
      <w:pPr>
        <w:pStyle w:val="AHPRABody1"/>
        <w:spacing w:after="200"/>
      </w:pPr>
      <w:r>
        <w:t>AHPRA has welcomed calls for stringent monitoring and swift detection of breaches in compliance by registered health practitioners with restrictions on their registration.</w:t>
      </w:r>
    </w:p>
    <w:p w:rsidR="00095482" w:rsidRDefault="00095482" w:rsidP="00985BD9">
      <w:pPr>
        <w:pStyle w:val="AHPRABody1"/>
        <w:spacing w:after="200"/>
      </w:pPr>
      <w:r>
        <w:t>On 24 March 2015, the Queensland Office of the Health Ombudsman (OHO) published a report recommending a range of initiatives to strengthen monitoring and compliance in Queensland and the National Scheme.</w:t>
      </w:r>
    </w:p>
    <w:p w:rsidR="00095482" w:rsidRDefault="00095482" w:rsidP="00985BD9">
      <w:pPr>
        <w:pStyle w:val="AHPRABody1"/>
        <w:spacing w:after="200"/>
      </w:pPr>
      <w:r>
        <w:t>The report’s recommendations affirm the sweeping changes AHPRA has already initiated to strengthen its compliance and monitoring program.</w:t>
      </w:r>
    </w:p>
    <w:p w:rsidR="00095482" w:rsidRDefault="00095482" w:rsidP="00985BD9">
      <w:pPr>
        <w:pStyle w:val="AHPRABody1"/>
        <w:spacing w:after="200"/>
      </w:pPr>
      <w:r>
        <w:t xml:space="preserve">AHPRA’s detailed response to the OHO and the recommendations in the report is published in the </w:t>
      </w:r>
      <w:hyperlink r:id="rId14" w:anchor="submissions" w:history="1">
        <w:r>
          <w:rPr>
            <w:rStyle w:val="Hyperlink"/>
          </w:rPr>
          <w:t>Corporate publications</w:t>
        </w:r>
      </w:hyperlink>
      <w:r>
        <w:t xml:space="preserve"> section of AHPRA’s website.</w:t>
      </w:r>
    </w:p>
    <w:p w:rsidR="00095482" w:rsidRDefault="00095482" w:rsidP="00985BD9">
      <w:pPr>
        <w:pStyle w:val="AHPRABody1"/>
        <w:spacing w:after="200"/>
      </w:pPr>
      <w:r>
        <w:t>Since July 2014, health complaints management in Queensland for registered health practitioners has involved a partnership between National Boards, AHPRA and the OHO.</w:t>
      </w:r>
    </w:p>
    <w:p w:rsidR="00095482" w:rsidRDefault="00095482" w:rsidP="00985BD9">
      <w:pPr>
        <w:pStyle w:val="AHPRABody1"/>
        <w:spacing w:after="200"/>
      </w:pPr>
      <w:r>
        <w:t>Improvements to compliance monitoring add to the overhaul of complaints management in Queensland that started in 2012. Recent initiatives include preparation for stricter drug and alcohol screening announced in February 2015, the appointment of a national compliance manager and stronger national coordination of the compliance function.</w:t>
      </w:r>
    </w:p>
    <w:p w:rsidR="00095482" w:rsidRDefault="00095482" w:rsidP="00985BD9">
      <w:pPr>
        <w:pStyle w:val="AHPRABody1"/>
        <w:spacing w:after="200"/>
      </w:pPr>
      <w:r>
        <w:t xml:space="preserve">For more information, please read the </w:t>
      </w:r>
      <w:hyperlink r:id="rId15" w:history="1">
        <w:r>
          <w:rPr>
            <w:rStyle w:val="Hyperlink"/>
          </w:rPr>
          <w:t>media release</w:t>
        </w:r>
      </w:hyperlink>
      <w:r>
        <w:t xml:space="preserve"> on AHPRA’s website. </w:t>
      </w:r>
    </w:p>
    <w:p w:rsidR="00054468" w:rsidRPr="00D80709" w:rsidRDefault="00054468" w:rsidP="00985BD9">
      <w:pPr>
        <w:spacing w:before="100" w:beforeAutospacing="1" w:after="200" w:line="270" w:lineRule="atLeast"/>
        <w:rPr>
          <w:rFonts w:ascii="Arial" w:hAnsi="Arial" w:cs="Arial"/>
          <w:sz w:val="20"/>
          <w:szCs w:val="20"/>
        </w:rPr>
      </w:pPr>
    </w:p>
    <w:p w:rsidR="000A3981" w:rsidRPr="001B3F78" w:rsidRDefault="006D7E2C" w:rsidP="00374277">
      <w:pPr>
        <w:spacing w:after="200"/>
        <w:contextualSpacing/>
        <w:jc w:val="both"/>
        <w:rPr>
          <w:rFonts w:ascii="Arial" w:hAnsi="Arial" w:cs="Arial"/>
          <w:sz w:val="20"/>
          <w:szCs w:val="20"/>
          <w:lang w:val="en-US"/>
        </w:rPr>
      </w:pPr>
      <w:r>
        <w:rPr>
          <w:rFonts w:ascii="Arial" w:hAnsi="Arial" w:cs="Arial"/>
          <w:sz w:val="20"/>
          <w:szCs w:val="20"/>
          <w:lang w:val="en-US"/>
        </w:rPr>
        <w:t xml:space="preserve">William Kelly </w:t>
      </w:r>
    </w:p>
    <w:p w:rsidR="000A3981" w:rsidRPr="001B3F78" w:rsidRDefault="006D7E2C" w:rsidP="00374277">
      <w:pPr>
        <w:spacing w:after="200"/>
        <w:contextualSpacing/>
        <w:jc w:val="both"/>
        <w:rPr>
          <w:rFonts w:ascii="Arial" w:hAnsi="Arial" w:cs="Arial"/>
          <w:sz w:val="20"/>
          <w:szCs w:val="20"/>
          <w:lang w:val="en-US"/>
        </w:rPr>
      </w:pPr>
      <w:r>
        <w:rPr>
          <w:rFonts w:ascii="Arial" w:hAnsi="Arial" w:cs="Arial"/>
          <w:sz w:val="20"/>
          <w:szCs w:val="20"/>
          <w:lang w:val="en-US"/>
        </w:rPr>
        <w:t xml:space="preserve">Acting </w:t>
      </w:r>
      <w:r w:rsidR="000A3981"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BB35F0" w:rsidP="00203DEB">
      <w:pPr>
        <w:spacing w:after="200"/>
        <w:rPr>
          <w:rFonts w:ascii="Arial" w:hAnsi="Arial" w:cs="Arial"/>
          <w:sz w:val="20"/>
          <w:szCs w:val="20"/>
          <w:lang w:val="en-US"/>
        </w:rPr>
      </w:pPr>
      <w:r>
        <w:rPr>
          <w:rFonts w:ascii="Arial" w:hAnsi="Arial" w:cs="Arial"/>
          <w:sz w:val="20"/>
          <w:szCs w:val="20"/>
          <w:lang w:val="en-US"/>
        </w:rPr>
        <w:t>28</w:t>
      </w:r>
      <w:r w:rsidR="009036C8">
        <w:rPr>
          <w:rFonts w:ascii="Arial" w:hAnsi="Arial" w:cs="Arial"/>
          <w:sz w:val="20"/>
          <w:szCs w:val="20"/>
          <w:lang w:val="en-US"/>
        </w:rPr>
        <w:t xml:space="preserve"> April </w:t>
      </w:r>
      <w:r w:rsidR="00203DEB">
        <w:rPr>
          <w:rFonts w:ascii="Arial" w:hAnsi="Arial" w:cs="Arial"/>
          <w:sz w:val="20"/>
          <w:szCs w:val="20"/>
          <w:lang w:val="en-US"/>
        </w:rPr>
        <w:t>2015</w:t>
      </w:r>
    </w:p>
    <w:p w:rsidR="00E97FA1" w:rsidRPr="00E97FA1" w:rsidRDefault="007663F9" w:rsidP="00E97FA1">
      <w:pPr>
        <w:pStyle w:val="AHPRAHeadline"/>
        <w:spacing w:after="0"/>
        <w:rPr>
          <w:i/>
          <w:color w:val="auto"/>
          <w:sz w:val="18"/>
          <w:szCs w:val="18"/>
        </w:rPr>
      </w:pPr>
      <w:hyperlink r:id="rId16"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7"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18"/>
      <w:headerReference w:type="first" r:id="rId19"/>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CF" w:rsidRDefault="004542CF" w:rsidP="002D7FF3">
      <w:r>
        <w:separator/>
      </w:r>
    </w:p>
  </w:endnote>
  <w:endnote w:type="continuationSeparator" w:id="0">
    <w:p w:rsidR="004542CF" w:rsidRDefault="004542CF"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4542CF" w:rsidRPr="007B4773" w:rsidRDefault="0001471F">
        <w:pPr>
          <w:pStyle w:val="Footer"/>
          <w:jc w:val="right"/>
          <w:rPr>
            <w:rFonts w:ascii="Arial" w:hAnsi="Arial" w:cs="Arial"/>
            <w:sz w:val="20"/>
            <w:szCs w:val="20"/>
          </w:rPr>
        </w:pPr>
        <w:r w:rsidRPr="007B4773">
          <w:rPr>
            <w:rFonts w:ascii="Arial" w:hAnsi="Arial" w:cs="Arial"/>
            <w:sz w:val="20"/>
            <w:szCs w:val="20"/>
          </w:rPr>
          <w:fldChar w:fldCharType="begin"/>
        </w:r>
        <w:r w:rsidR="004542CF"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7663F9">
          <w:rPr>
            <w:rFonts w:ascii="Arial" w:hAnsi="Arial" w:cs="Arial"/>
            <w:noProof/>
            <w:sz w:val="20"/>
            <w:szCs w:val="20"/>
          </w:rPr>
          <w:t>2</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CF" w:rsidRDefault="004542CF" w:rsidP="002D7FF3">
      <w:r>
        <w:separator/>
      </w:r>
    </w:p>
  </w:footnote>
  <w:footnote w:type="continuationSeparator" w:id="0">
    <w:p w:rsidR="004542CF" w:rsidRDefault="004542CF" w:rsidP="002D7FF3">
      <w:r>
        <w:continuationSeparator/>
      </w:r>
    </w:p>
  </w:footnote>
  <w:footnote w:id="1">
    <w:p w:rsidR="004542CF" w:rsidRDefault="004542CF">
      <w:pPr>
        <w:pStyle w:val="FootnoteText"/>
      </w:pPr>
      <w:r w:rsidRPr="00B05BF1">
        <w:rPr>
          <w:rStyle w:val="FootnoteReference"/>
          <w:rFonts w:ascii="Arial" w:hAnsi="Arial" w:cs="Arial"/>
        </w:rPr>
        <w:footnoteRef/>
      </w:r>
      <w:r>
        <w:t xml:space="preserve"> </w:t>
      </w:r>
      <w:r>
        <w:rPr>
          <w:rFonts w:ascii="Arial" w:hAnsi="Arial" w:cs="Arial"/>
          <w:sz w:val="18"/>
          <w:szCs w:val="18"/>
        </w:rPr>
        <w:t>Currently</w:t>
      </w:r>
      <w:r w:rsidRPr="00D42AD1">
        <w:rPr>
          <w:rFonts w:ascii="Arial" w:hAnsi="Arial" w:cs="Arial"/>
          <w:sz w:val="18"/>
          <w:szCs w:val="18"/>
        </w:rPr>
        <w:t xml:space="preserve"> titled</w:t>
      </w:r>
      <w:r w:rsidRPr="00D42AD1">
        <w:rPr>
          <w:rFonts w:ascii="Arial" w:hAnsi="Arial" w:cs="Arial"/>
          <w:i/>
          <w:sz w:val="18"/>
          <w:szCs w:val="18"/>
        </w:rPr>
        <w:t xml:space="preserve"> Guidelines on specialised supply arrangements</w:t>
      </w:r>
    </w:p>
  </w:footnote>
  <w:footnote w:id="2">
    <w:p w:rsidR="004542CF" w:rsidRDefault="004542CF">
      <w:pPr>
        <w:pStyle w:val="FootnoteText"/>
      </w:pPr>
      <w:r w:rsidRPr="00B05BF1">
        <w:rPr>
          <w:rStyle w:val="FootnoteReference"/>
          <w:rFonts w:ascii="Arial" w:hAnsi="Arial" w:cs="Arial"/>
        </w:rPr>
        <w:footnoteRef/>
      </w:r>
      <w:r>
        <w:t xml:space="preserve"> </w:t>
      </w:r>
      <w:r w:rsidRPr="00015B20">
        <w:rPr>
          <w:rFonts w:ascii="Arial" w:hAnsi="Arial" w:cs="Arial"/>
          <w:sz w:val="18"/>
          <w:szCs w:val="18"/>
        </w:rPr>
        <w:t xml:space="preserve">Currently </w:t>
      </w:r>
      <w:r w:rsidRPr="001830BB">
        <w:rPr>
          <w:rFonts w:ascii="Arial" w:hAnsi="Arial" w:cs="Arial"/>
          <w:sz w:val="18"/>
          <w:szCs w:val="18"/>
        </w:rPr>
        <w:t>titled</w:t>
      </w:r>
      <w:r w:rsidRPr="00015B20">
        <w:rPr>
          <w:rFonts w:ascii="Arial" w:hAnsi="Arial" w:cs="Arial"/>
          <w:sz w:val="18"/>
          <w:szCs w:val="18"/>
        </w:rPr>
        <w:t xml:space="preserve"> </w:t>
      </w:r>
      <w:r w:rsidRPr="001830BB">
        <w:rPr>
          <w:rFonts w:ascii="Arial" w:hAnsi="Arial" w:cs="Arial"/>
          <w:i/>
          <w:sz w:val="18"/>
          <w:szCs w:val="18"/>
        </w:rPr>
        <w:t>Guidelines on responsibilities of pharmacists when practising as proprietors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CF" w:rsidRDefault="004542CF" w:rsidP="00243101">
    <w:pPr>
      <w:pStyle w:val="Header"/>
      <w:jc w:val="right"/>
    </w:pPr>
    <w:r>
      <w:rPr>
        <w:noProof/>
        <w:sz w:val="20"/>
        <w:szCs w:val="20"/>
      </w:rPr>
      <w:drawing>
        <wp:inline distT="0" distB="0" distL="0" distR="0">
          <wp:extent cx="1294130" cy="1294130"/>
          <wp:effectExtent l="0" t="0" r="0" b="0"/>
          <wp:docPr id="1" name="Picture 1"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numPicBullet w:numPicBulletId="3">
    <w:pict>
      <v:shape id="_x0000_i1031" type="#_x0000_t75" style="width:4pt;height:4pt" o:bullet="t">
        <v:imagedata r:id="rId1" o:title="squaredotpoint-orange"/>
      </v:shape>
    </w:pict>
  </w:numPicBullet>
  <w:numPicBullet w:numPicBulletId="4">
    <w:pict>
      <v:shape id="_x0000_i1032" type="#_x0000_t75" style="width:3in;height:3in" o:bullet="t"/>
    </w:pict>
  </w:numPicBullet>
  <w:numPicBullet w:numPicBulletId="5">
    <w:pict>
      <v:shape id="_x0000_i1033" type="#_x0000_t75" style="width:3in;height:3in" o:bullet="t"/>
    </w:pict>
  </w:numPicBullet>
  <w:numPicBullet w:numPicBulletId="6">
    <w:pict>
      <v:shape id="_x0000_i1034" type="#_x0000_t75" style="width:3in;height:3in" o:bullet="t"/>
    </w:pict>
  </w:numPicBullet>
  <w:numPicBullet w:numPicBulletId="7">
    <w:pict>
      <v:shape id="_x0000_i1035" type="#_x0000_t75" style="width:3in;height:3in" o:bullet="t"/>
    </w:pict>
  </w:numPicBullet>
  <w:numPicBullet w:numPicBulletId="8">
    <w:pict>
      <v:shape id="_x0000_i1036"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AE53174"/>
    <w:multiLevelType w:val="hybridMultilevel"/>
    <w:tmpl w:val="E4367D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D373706"/>
    <w:multiLevelType w:val="hybridMultilevel"/>
    <w:tmpl w:val="17A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2C37F8"/>
    <w:multiLevelType w:val="multilevel"/>
    <w:tmpl w:val="DD8A82D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CD076D"/>
    <w:multiLevelType w:val="multilevel"/>
    <w:tmpl w:val="410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4760F"/>
    <w:multiLevelType w:val="multilevel"/>
    <w:tmpl w:val="E6107B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A87CE5"/>
    <w:multiLevelType w:val="multilevel"/>
    <w:tmpl w:val="845084E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C4F4E"/>
    <w:multiLevelType w:val="hybridMultilevel"/>
    <w:tmpl w:val="440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E6D6B"/>
    <w:multiLevelType w:val="hybridMultilevel"/>
    <w:tmpl w:val="FB7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DE7C80"/>
    <w:multiLevelType w:val="multilevel"/>
    <w:tmpl w:val="37B47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67106"/>
    <w:multiLevelType w:val="hybridMultilevel"/>
    <w:tmpl w:val="A8A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2B6739"/>
    <w:multiLevelType w:val="multilevel"/>
    <w:tmpl w:val="A05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4">
    <w:nsid w:val="7C731660"/>
    <w:multiLevelType w:val="multilevel"/>
    <w:tmpl w:val="C4183F12"/>
    <w:numStyleLink w:val="AHPRANumberedlist"/>
  </w:abstractNum>
  <w:num w:numId="1">
    <w:abstractNumId w:val="9"/>
  </w:num>
  <w:num w:numId="2">
    <w:abstractNumId w:val="15"/>
  </w:num>
  <w:num w:numId="3">
    <w:abstractNumId w:val="23"/>
  </w:num>
  <w:num w:numId="4">
    <w:abstractNumId w:val="0"/>
  </w:num>
  <w:num w:numId="5">
    <w:abstractNumId w:val="24"/>
  </w:num>
  <w:num w:numId="6">
    <w:abstractNumId w:val="2"/>
  </w:num>
  <w:num w:numId="7">
    <w:abstractNumId w:val="13"/>
  </w:num>
  <w:num w:numId="8">
    <w:abstractNumId w:val="20"/>
  </w:num>
  <w:num w:numId="9">
    <w:abstractNumId w:val="10"/>
  </w:num>
  <w:num w:numId="10">
    <w:abstractNumId w:val="19"/>
  </w:num>
  <w:num w:numId="11">
    <w:abstractNumId w:val="6"/>
  </w:num>
  <w:num w:numId="12">
    <w:abstractNumId w:val="18"/>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8"/>
  </w:num>
  <w:num w:numId="18">
    <w:abstractNumId w:val="16"/>
  </w:num>
  <w:num w:numId="19">
    <w:abstractNumId w:val="17"/>
  </w:num>
  <w:num w:numId="20">
    <w:abstractNumId w:val="3"/>
  </w:num>
  <w:num w:numId="21">
    <w:abstractNumId w:val="11"/>
  </w:num>
  <w:num w:numId="22">
    <w:abstractNumId w:val="22"/>
  </w:num>
  <w:num w:numId="23">
    <w:abstractNumId w:val="5"/>
  </w:num>
  <w:num w:numId="24">
    <w:abstractNumId w:val="14"/>
  </w:num>
  <w:num w:numId="25">
    <w:abstractNumId w:val="12"/>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471F"/>
    <w:rsid w:val="00015794"/>
    <w:rsid w:val="00015B20"/>
    <w:rsid w:val="00017D29"/>
    <w:rsid w:val="00021BB4"/>
    <w:rsid w:val="00022B7C"/>
    <w:rsid w:val="0002402B"/>
    <w:rsid w:val="00030834"/>
    <w:rsid w:val="000309BE"/>
    <w:rsid w:val="000420DA"/>
    <w:rsid w:val="00045461"/>
    <w:rsid w:val="0004588C"/>
    <w:rsid w:val="000464DD"/>
    <w:rsid w:val="000532AB"/>
    <w:rsid w:val="00053B70"/>
    <w:rsid w:val="00054468"/>
    <w:rsid w:val="00060613"/>
    <w:rsid w:val="000644A3"/>
    <w:rsid w:val="000707D2"/>
    <w:rsid w:val="000734F5"/>
    <w:rsid w:val="0008096D"/>
    <w:rsid w:val="00080B61"/>
    <w:rsid w:val="00081234"/>
    <w:rsid w:val="00082F9A"/>
    <w:rsid w:val="00086234"/>
    <w:rsid w:val="00092048"/>
    <w:rsid w:val="00095089"/>
    <w:rsid w:val="00095482"/>
    <w:rsid w:val="00095637"/>
    <w:rsid w:val="000A3981"/>
    <w:rsid w:val="000A430B"/>
    <w:rsid w:val="000A7415"/>
    <w:rsid w:val="000B19FC"/>
    <w:rsid w:val="000B4852"/>
    <w:rsid w:val="000B7269"/>
    <w:rsid w:val="000C2A99"/>
    <w:rsid w:val="000C397F"/>
    <w:rsid w:val="000C4DCB"/>
    <w:rsid w:val="000C54F6"/>
    <w:rsid w:val="000C5E53"/>
    <w:rsid w:val="000C6B3B"/>
    <w:rsid w:val="000D0008"/>
    <w:rsid w:val="000D0311"/>
    <w:rsid w:val="000D1C9B"/>
    <w:rsid w:val="000D2D01"/>
    <w:rsid w:val="000E5C6A"/>
    <w:rsid w:val="000E7A85"/>
    <w:rsid w:val="000F524B"/>
    <w:rsid w:val="00102E74"/>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513B"/>
    <w:rsid w:val="0017554A"/>
    <w:rsid w:val="00176D81"/>
    <w:rsid w:val="00180A27"/>
    <w:rsid w:val="001812E7"/>
    <w:rsid w:val="00181DD0"/>
    <w:rsid w:val="001857D4"/>
    <w:rsid w:val="00190C76"/>
    <w:rsid w:val="0019186E"/>
    <w:rsid w:val="00191DF4"/>
    <w:rsid w:val="00192EAE"/>
    <w:rsid w:val="00193F50"/>
    <w:rsid w:val="00193F6F"/>
    <w:rsid w:val="00196E23"/>
    <w:rsid w:val="00196FA4"/>
    <w:rsid w:val="00197E85"/>
    <w:rsid w:val="001A1C25"/>
    <w:rsid w:val="001A23BF"/>
    <w:rsid w:val="001A281D"/>
    <w:rsid w:val="001A36ED"/>
    <w:rsid w:val="001B3F78"/>
    <w:rsid w:val="001B7E17"/>
    <w:rsid w:val="001C6681"/>
    <w:rsid w:val="001D4D8B"/>
    <w:rsid w:val="001E2076"/>
    <w:rsid w:val="001E4C2E"/>
    <w:rsid w:val="001E694C"/>
    <w:rsid w:val="001F39CC"/>
    <w:rsid w:val="001F570A"/>
    <w:rsid w:val="001F6D21"/>
    <w:rsid w:val="00203CDB"/>
    <w:rsid w:val="00203DEB"/>
    <w:rsid w:val="00203F51"/>
    <w:rsid w:val="0020696D"/>
    <w:rsid w:val="002101A4"/>
    <w:rsid w:val="0021220F"/>
    <w:rsid w:val="002151B9"/>
    <w:rsid w:val="0021717B"/>
    <w:rsid w:val="002246CE"/>
    <w:rsid w:val="00233055"/>
    <w:rsid w:val="002342C6"/>
    <w:rsid w:val="002364E1"/>
    <w:rsid w:val="00240E65"/>
    <w:rsid w:val="00243101"/>
    <w:rsid w:val="00245EF3"/>
    <w:rsid w:val="00246848"/>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D041F"/>
    <w:rsid w:val="002D1F62"/>
    <w:rsid w:val="002D710B"/>
    <w:rsid w:val="002D7FF3"/>
    <w:rsid w:val="002E05E2"/>
    <w:rsid w:val="002E0FAF"/>
    <w:rsid w:val="002E2B14"/>
    <w:rsid w:val="002E52DA"/>
    <w:rsid w:val="002F57B0"/>
    <w:rsid w:val="00300002"/>
    <w:rsid w:val="00300DD0"/>
    <w:rsid w:val="00303B25"/>
    <w:rsid w:val="00310C3A"/>
    <w:rsid w:val="00315298"/>
    <w:rsid w:val="00317DA0"/>
    <w:rsid w:val="003209DA"/>
    <w:rsid w:val="00323D42"/>
    <w:rsid w:val="0032476E"/>
    <w:rsid w:val="003251F9"/>
    <w:rsid w:val="003277CD"/>
    <w:rsid w:val="00331A62"/>
    <w:rsid w:val="003352A4"/>
    <w:rsid w:val="00337CA8"/>
    <w:rsid w:val="00337ECB"/>
    <w:rsid w:val="00340C88"/>
    <w:rsid w:val="003421C1"/>
    <w:rsid w:val="003433C4"/>
    <w:rsid w:val="00344923"/>
    <w:rsid w:val="00344F56"/>
    <w:rsid w:val="00347530"/>
    <w:rsid w:val="00355819"/>
    <w:rsid w:val="00356ED6"/>
    <w:rsid w:val="003618AA"/>
    <w:rsid w:val="00374277"/>
    <w:rsid w:val="00375622"/>
    <w:rsid w:val="00376A9D"/>
    <w:rsid w:val="00380B47"/>
    <w:rsid w:val="00382CBC"/>
    <w:rsid w:val="003925FE"/>
    <w:rsid w:val="00392BE3"/>
    <w:rsid w:val="00394A73"/>
    <w:rsid w:val="003A3BC6"/>
    <w:rsid w:val="003A4E0B"/>
    <w:rsid w:val="003A79F4"/>
    <w:rsid w:val="003B7DC0"/>
    <w:rsid w:val="003C247D"/>
    <w:rsid w:val="003D0C11"/>
    <w:rsid w:val="003D5FA2"/>
    <w:rsid w:val="003E64A3"/>
    <w:rsid w:val="003E6C3A"/>
    <w:rsid w:val="003F0249"/>
    <w:rsid w:val="003F7856"/>
    <w:rsid w:val="004009B3"/>
    <w:rsid w:val="00412C8C"/>
    <w:rsid w:val="00423FF1"/>
    <w:rsid w:val="00424DDB"/>
    <w:rsid w:val="0043134E"/>
    <w:rsid w:val="0043138C"/>
    <w:rsid w:val="004319C1"/>
    <w:rsid w:val="004343AB"/>
    <w:rsid w:val="0043718F"/>
    <w:rsid w:val="00437262"/>
    <w:rsid w:val="00441B70"/>
    <w:rsid w:val="00445BE6"/>
    <w:rsid w:val="0045311B"/>
    <w:rsid w:val="0045396B"/>
    <w:rsid w:val="004542CF"/>
    <w:rsid w:val="0046292A"/>
    <w:rsid w:val="00465289"/>
    <w:rsid w:val="00465D58"/>
    <w:rsid w:val="004702F4"/>
    <w:rsid w:val="00472D4C"/>
    <w:rsid w:val="004748DA"/>
    <w:rsid w:val="0048140F"/>
    <w:rsid w:val="00481A22"/>
    <w:rsid w:val="00481F09"/>
    <w:rsid w:val="004838BE"/>
    <w:rsid w:val="00484C41"/>
    <w:rsid w:val="00484C6D"/>
    <w:rsid w:val="004854B7"/>
    <w:rsid w:val="00487102"/>
    <w:rsid w:val="004918DB"/>
    <w:rsid w:val="004A1873"/>
    <w:rsid w:val="004A1DD3"/>
    <w:rsid w:val="004A5B86"/>
    <w:rsid w:val="004B05FE"/>
    <w:rsid w:val="004B154C"/>
    <w:rsid w:val="004B2A17"/>
    <w:rsid w:val="004B5F08"/>
    <w:rsid w:val="004B63BE"/>
    <w:rsid w:val="004B6EB8"/>
    <w:rsid w:val="004B7215"/>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6D58"/>
    <w:rsid w:val="0050719F"/>
    <w:rsid w:val="00513BFB"/>
    <w:rsid w:val="00514682"/>
    <w:rsid w:val="00516436"/>
    <w:rsid w:val="0051674A"/>
    <w:rsid w:val="00516972"/>
    <w:rsid w:val="00520A87"/>
    <w:rsid w:val="00522C40"/>
    <w:rsid w:val="00522E57"/>
    <w:rsid w:val="00525909"/>
    <w:rsid w:val="00527565"/>
    <w:rsid w:val="0053039F"/>
    <w:rsid w:val="005331F4"/>
    <w:rsid w:val="005413C9"/>
    <w:rsid w:val="005419AE"/>
    <w:rsid w:val="005447B8"/>
    <w:rsid w:val="00547E8F"/>
    <w:rsid w:val="00550C0D"/>
    <w:rsid w:val="00551F90"/>
    <w:rsid w:val="005521DA"/>
    <w:rsid w:val="0055624E"/>
    <w:rsid w:val="00562BC0"/>
    <w:rsid w:val="00562CB8"/>
    <w:rsid w:val="00566319"/>
    <w:rsid w:val="005663B3"/>
    <w:rsid w:val="005705AA"/>
    <w:rsid w:val="00571EFA"/>
    <w:rsid w:val="00572631"/>
    <w:rsid w:val="005748CF"/>
    <w:rsid w:val="0057506C"/>
    <w:rsid w:val="0057649A"/>
    <w:rsid w:val="005812E0"/>
    <w:rsid w:val="00581D23"/>
    <w:rsid w:val="00585E29"/>
    <w:rsid w:val="005877CD"/>
    <w:rsid w:val="00590273"/>
    <w:rsid w:val="00590766"/>
    <w:rsid w:val="00591036"/>
    <w:rsid w:val="0059107F"/>
    <w:rsid w:val="00594632"/>
    <w:rsid w:val="00596CFF"/>
    <w:rsid w:val="005A5061"/>
    <w:rsid w:val="005B1039"/>
    <w:rsid w:val="005B1C52"/>
    <w:rsid w:val="005B432C"/>
    <w:rsid w:val="005B5709"/>
    <w:rsid w:val="005B6AE8"/>
    <w:rsid w:val="005C1B33"/>
    <w:rsid w:val="005C2A11"/>
    <w:rsid w:val="005C5091"/>
    <w:rsid w:val="005D49F9"/>
    <w:rsid w:val="005D5071"/>
    <w:rsid w:val="005E23FF"/>
    <w:rsid w:val="005E30A2"/>
    <w:rsid w:val="005E7DCF"/>
    <w:rsid w:val="005F1423"/>
    <w:rsid w:val="005F2C1A"/>
    <w:rsid w:val="005F39EF"/>
    <w:rsid w:val="005F591F"/>
    <w:rsid w:val="00600B9A"/>
    <w:rsid w:val="00604CAD"/>
    <w:rsid w:val="00606708"/>
    <w:rsid w:val="00606A41"/>
    <w:rsid w:val="0060715F"/>
    <w:rsid w:val="00610679"/>
    <w:rsid w:val="006131C8"/>
    <w:rsid w:val="00616AD7"/>
    <w:rsid w:val="00621309"/>
    <w:rsid w:val="006233A2"/>
    <w:rsid w:val="00623C48"/>
    <w:rsid w:val="00626479"/>
    <w:rsid w:val="00632D58"/>
    <w:rsid w:val="00637E2F"/>
    <w:rsid w:val="006438B3"/>
    <w:rsid w:val="0064622C"/>
    <w:rsid w:val="00650CA2"/>
    <w:rsid w:val="0065164B"/>
    <w:rsid w:val="00666221"/>
    <w:rsid w:val="0066645F"/>
    <w:rsid w:val="0066705D"/>
    <w:rsid w:val="00674250"/>
    <w:rsid w:val="00690CA5"/>
    <w:rsid w:val="006912E2"/>
    <w:rsid w:val="00696834"/>
    <w:rsid w:val="006A2126"/>
    <w:rsid w:val="006B4009"/>
    <w:rsid w:val="006B4997"/>
    <w:rsid w:val="006B78D4"/>
    <w:rsid w:val="006C1BF0"/>
    <w:rsid w:val="006C2205"/>
    <w:rsid w:val="006C4716"/>
    <w:rsid w:val="006C65A2"/>
    <w:rsid w:val="006C6886"/>
    <w:rsid w:val="006D08FA"/>
    <w:rsid w:val="006D7E2C"/>
    <w:rsid w:val="006E1898"/>
    <w:rsid w:val="006E54A3"/>
    <w:rsid w:val="006E5D5B"/>
    <w:rsid w:val="006F045C"/>
    <w:rsid w:val="006F262A"/>
    <w:rsid w:val="006F485D"/>
    <w:rsid w:val="006F74FE"/>
    <w:rsid w:val="00700C4E"/>
    <w:rsid w:val="0071063D"/>
    <w:rsid w:val="0071079C"/>
    <w:rsid w:val="007135EF"/>
    <w:rsid w:val="00717423"/>
    <w:rsid w:val="00717CEA"/>
    <w:rsid w:val="00721CD7"/>
    <w:rsid w:val="00723682"/>
    <w:rsid w:val="0073088F"/>
    <w:rsid w:val="00735D4F"/>
    <w:rsid w:val="00745EEC"/>
    <w:rsid w:val="00747173"/>
    <w:rsid w:val="00750FA1"/>
    <w:rsid w:val="0075128B"/>
    <w:rsid w:val="007520F2"/>
    <w:rsid w:val="007604FF"/>
    <w:rsid w:val="00762417"/>
    <w:rsid w:val="007640EB"/>
    <w:rsid w:val="007663F9"/>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5FA1"/>
    <w:rsid w:val="007B6694"/>
    <w:rsid w:val="007B6F93"/>
    <w:rsid w:val="007C1884"/>
    <w:rsid w:val="007C2EA3"/>
    <w:rsid w:val="007C6E5F"/>
    <w:rsid w:val="007C7678"/>
    <w:rsid w:val="007C7E53"/>
    <w:rsid w:val="007D0935"/>
    <w:rsid w:val="007D0AF5"/>
    <w:rsid w:val="007D14EB"/>
    <w:rsid w:val="007D1684"/>
    <w:rsid w:val="007D659F"/>
    <w:rsid w:val="007D66FA"/>
    <w:rsid w:val="007E1E1F"/>
    <w:rsid w:val="007F1F21"/>
    <w:rsid w:val="00805707"/>
    <w:rsid w:val="00806CCD"/>
    <w:rsid w:val="00807642"/>
    <w:rsid w:val="00807E36"/>
    <w:rsid w:val="00810204"/>
    <w:rsid w:val="0081079B"/>
    <w:rsid w:val="008120EB"/>
    <w:rsid w:val="008121B5"/>
    <w:rsid w:val="008139AD"/>
    <w:rsid w:val="00813FCB"/>
    <w:rsid w:val="00817AFD"/>
    <w:rsid w:val="0082398E"/>
    <w:rsid w:val="0082603C"/>
    <w:rsid w:val="00831E42"/>
    <w:rsid w:val="00835F91"/>
    <w:rsid w:val="00836B10"/>
    <w:rsid w:val="00837770"/>
    <w:rsid w:val="00837D0D"/>
    <w:rsid w:val="00853C3A"/>
    <w:rsid w:val="008569F7"/>
    <w:rsid w:val="00856D69"/>
    <w:rsid w:val="008573B3"/>
    <w:rsid w:val="008622C1"/>
    <w:rsid w:val="00865A22"/>
    <w:rsid w:val="00872074"/>
    <w:rsid w:val="008744A0"/>
    <w:rsid w:val="00874C7F"/>
    <w:rsid w:val="0088102E"/>
    <w:rsid w:val="00882D8F"/>
    <w:rsid w:val="00886AE6"/>
    <w:rsid w:val="00891E1C"/>
    <w:rsid w:val="0089487B"/>
    <w:rsid w:val="008969AC"/>
    <w:rsid w:val="00897D79"/>
    <w:rsid w:val="008A0F2B"/>
    <w:rsid w:val="008A380A"/>
    <w:rsid w:val="008A5FDF"/>
    <w:rsid w:val="008B2F60"/>
    <w:rsid w:val="008C00E2"/>
    <w:rsid w:val="008C0201"/>
    <w:rsid w:val="008C1E04"/>
    <w:rsid w:val="008C59A7"/>
    <w:rsid w:val="008D1E98"/>
    <w:rsid w:val="008D766E"/>
    <w:rsid w:val="008D7D21"/>
    <w:rsid w:val="008E444D"/>
    <w:rsid w:val="008E4621"/>
    <w:rsid w:val="008E5504"/>
    <w:rsid w:val="008E675A"/>
    <w:rsid w:val="008F03FC"/>
    <w:rsid w:val="008F083A"/>
    <w:rsid w:val="008F2434"/>
    <w:rsid w:val="008F6EC3"/>
    <w:rsid w:val="008F7540"/>
    <w:rsid w:val="00902558"/>
    <w:rsid w:val="009036C8"/>
    <w:rsid w:val="0090392D"/>
    <w:rsid w:val="00905A8C"/>
    <w:rsid w:val="0090604F"/>
    <w:rsid w:val="0090689C"/>
    <w:rsid w:val="009070AF"/>
    <w:rsid w:val="00913E33"/>
    <w:rsid w:val="009248D3"/>
    <w:rsid w:val="00926F93"/>
    <w:rsid w:val="0093258A"/>
    <w:rsid w:val="009344E9"/>
    <w:rsid w:val="009349C0"/>
    <w:rsid w:val="00944B5F"/>
    <w:rsid w:val="0094694C"/>
    <w:rsid w:val="00947E81"/>
    <w:rsid w:val="009509AD"/>
    <w:rsid w:val="00964AF7"/>
    <w:rsid w:val="00966388"/>
    <w:rsid w:val="0097112C"/>
    <w:rsid w:val="00972F1F"/>
    <w:rsid w:val="00984BCA"/>
    <w:rsid w:val="00985BD9"/>
    <w:rsid w:val="00990892"/>
    <w:rsid w:val="009913DC"/>
    <w:rsid w:val="00992926"/>
    <w:rsid w:val="00997BB7"/>
    <w:rsid w:val="009A2494"/>
    <w:rsid w:val="009B18EF"/>
    <w:rsid w:val="009B3F1F"/>
    <w:rsid w:val="009B4F8D"/>
    <w:rsid w:val="009B6E4D"/>
    <w:rsid w:val="009C0753"/>
    <w:rsid w:val="009C15A3"/>
    <w:rsid w:val="009C25E9"/>
    <w:rsid w:val="009C2C9B"/>
    <w:rsid w:val="009C6477"/>
    <w:rsid w:val="009D1E6B"/>
    <w:rsid w:val="009D4F17"/>
    <w:rsid w:val="009D6C01"/>
    <w:rsid w:val="009D6C60"/>
    <w:rsid w:val="009D7DCD"/>
    <w:rsid w:val="009E1723"/>
    <w:rsid w:val="00A032AD"/>
    <w:rsid w:val="00A06A78"/>
    <w:rsid w:val="00A07B62"/>
    <w:rsid w:val="00A10D95"/>
    <w:rsid w:val="00A14AC4"/>
    <w:rsid w:val="00A24C83"/>
    <w:rsid w:val="00A25D97"/>
    <w:rsid w:val="00A264F6"/>
    <w:rsid w:val="00A27876"/>
    <w:rsid w:val="00A302C1"/>
    <w:rsid w:val="00A30A7F"/>
    <w:rsid w:val="00A4276B"/>
    <w:rsid w:val="00A46D43"/>
    <w:rsid w:val="00A51A68"/>
    <w:rsid w:val="00A530FA"/>
    <w:rsid w:val="00A5341D"/>
    <w:rsid w:val="00A53A43"/>
    <w:rsid w:val="00A561FF"/>
    <w:rsid w:val="00A57AE4"/>
    <w:rsid w:val="00A66163"/>
    <w:rsid w:val="00A67B9E"/>
    <w:rsid w:val="00A739BE"/>
    <w:rsid w:val="00A762C9"/>
    <w:rsid w:val="00A773AD"/>
    <w:rsid w:val="00A779CE"/>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1B07"/>
    <w:rsid w:val="00AC3C96"/>
    <w:rsid w:val="00AC3D84"/>
    <w:rsid w:val="00AC6DFE"/>
    <w:rsid w:val="00AD2D41"/>
    <w:rsid w:val="00AD445C"/>
    <w:rsid w:val="00AE2FE6"/>
    <w:rsid w:val="00AE31B3"/>
    <w:rsid w:val="00AE32B8"/>
    <w:rsid w:val="00AE53B8"/>
    <w:rsid w:val="00AE5D47"/>
    <w:rsid w:val="00AE7291"/>
    <w:rsid w:val="00AE7517"/>
    <w:rsid w:val="00AF6BDA"/>
    <w:rsid w:val="00B01866"/>
    <w:rsid w:val="00B05992"/>
    <w:rsid w:val="00B05BF1"/>
    <w:rsid w:val="00B1498D"/>
    <w:rsid w:val="00B16781"/>
    <w:rsid w:val="00B16867"/>
    <w:rsid w:val="00B17331"/>
    <w:rsid w:val="00B2249E"/>
    <w:rsid w:val="00B230F8"/>
    <w:rsid w:val="00B25A20"/>
    <w:rsid w:val="00B26069"/>
    <w:rsid w:val="00B26E6B"/>
    <w:rsid w:val="00B30DD1"/>
    <w:rsid w:val="00B31AF9"/>
    <w:rsid w:val="00B379EE"/>
    <w:rsid w:val="00B42C8F"/>
    <w:rsid w:val="00B4503F"/>
    <w:rsid w:val="00B45C29"/>
    <w:rsid w:val="00B45E93"/>
    <w:rsid w:val="00B47318"/>
    <w:rsid w:val="00B51425"/>
    <w:rsid w:val="00B539DB"/>
    <w:rsid w:val="00B6236E"/>
    <w:rsid w:val="00B6641A"/>
    <w:rsid w:val="00B74852"/>
    <w:rsid w:val="00B77AD6"/>
    <w:rsid w:val="00B8027D"/>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35F0"/>
    <w:rsid w:val="00BB453D"/>
    <w:rsid w:val="00BC0B79"/>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06D9D"/>
    <w:rsid w:val="00C10D54"/>
    <w:rsid w:val="00C13D94"/>
    <w:rsid w:val="00C20304"/>
    <w:rsid w:val="00C315AD"/>
    <w:rsid w:val="00C402DD"/>
    <w:rsid w:val="00C40CBC"/>
    <w:rsid w:val="00C41216"/>
    <w:rsid w:val="00C46F50"/>
    <w:rsid w:val="00C51D6E"/>
    <w:rsid w:val="00C53D32"/>
    <w:rsid w:val="00C54BE0"/>
    <w:rsid w:val="00C67440"/>
    <w:rsid w:val="00C67B47"/>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D8B"/>
    <w:rsid w:val="00CD1C7C"/>
    <w:rsid w:val="00CD266A"/>
    <w:rsid w:val="00CD403C"/>
    <w:rsid w:val="00CD6482"/>
    <w:rsid w:val="00CD71F0"/>
    <w:rsid w:val="00CD7F6A"/>
    <w:rsid w:val="00CE0770"/>
    <w:rsid w:val="00CE398F"/>
    <w:rsid w:val="00CE53FD"/>
    <w:rsid w:val="00CE7C2E"/>
    <w:rsid w:val="00CF5AE1"/>
    <w:rsid w:val="00D10588"/>
    <w:rsid w:val="00D12989"/>
    <w:rsid w:val="00D134A7"/>
    <w:rsid w:val="00D14B2F"/>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41EE"/>
    <w:rsid w:val="00D76ABF"/>
    <w:rsid w:val="00D809F1"/>
    <w:rsid w:val="00D8632A"/>
    <w:rsid w:val="00D865AF"/>
    <w:rsid w:val="00D87DAC"/>
    <w:rsid w:val="00D9060E"/>
    <w:rsid w:val="00D9525A"/>
    <w:rsid w:val="00DA1548"/>
    <w:rsid w:val="00DA3160"/>
    <w:rsid w:val="00DA3BAA"/>
    <w:rsid w:val="00DA5CF1"/>
    <w:rsid w:val="00DA7BAA"/>
    <w:rsid w:val="00DA7F08"/>
    <w:rsid w:val="00DB0746"/>
    <w:rsid w:val="00DB26DD"/>
    <w:rsid w:val="00DB2E2B"/>
    <w:rsid w:val="00DC022E"/>
    <w:rsid w:val="00DD34B3"/>
    <w:rsid w:val="00DD5586"/>
    <w:rsid w:val="00DE177C"/>
    <w:rsid w:val="00DE251F"/>
    <w:rsid w:val="00DE3A76"/>
    <w:rsid w:val="00DF0071"/>
    <w:rsid w:val="00DF0D63"/>
    <w:rsid w:val="00DF10E7"/>
    <w:rsid w:val="00DF1F4D"/>
    <w:rsid w:val="00DF258F"/>
    <w:rsid w:val="00E0050B"/>
    <w:rsid w:val="00E018B2"/>
    <w:rsid w:val="00E02D1D"/>
    <w:rsid w:val="00E07B6F"/>
    <w:rsid w:val="00E12D70"/>
    <w:rsid w:val="00E15F20"/>
    <w:rsid w:val="00E15F5C"/>
    <w:rsid w:val="00E25145"/>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56B3"/>
    <w:rsid w:val="00EA7C5A"/>
    <w:rsid w:val="00EB09FE"/>
    <w:rsid w:val="00EB3EBC"/>
    <w:rsid w:val="00EB41D3"/>
    <w:rsid w:val="00EC5F33"/>
    <w:rsid w:val="00ED5D19"/>
    <w:rsid w:val="00ED649B"/>
    <w:rsid w:val="00EE15BD"/>
    <w:rsid w:val="00EE21B6"/>
    <w:rsid w:val="00EF554B"/>
    <w:rsid w:val="00F002E6"/>
    <w:rsid w:val="00F009A2"/>
    <w:rsid w:val="00F02FEC"/>
    <w:rsid w:val="00F058B8"/>
    <w:rsid w:val="00F07F2A"/>
    <w:rsid w:val="00F10090"/>
    <w:rsid w:val="00F117EA"/>
    <w:rsid w:val="00F11AA1"/>
    <w:rsid w:val="00F22ADF"/>
    <w:rsid w:val="00F25B3E"/>
    <w:rsid w:val="00F26ABE"/>
    <w:rsid w:val="00F30FE9"/>
    <w:rsid w:val="00F31276"/>
    <w:rsid w:val="00F32AA2"/>
    <w:rsid w:val="00F35373"/>
    <w:rsid w:val="00F3663A"/>
    <w:rsid w:val="00F3741D"/>
    <w:rsid w:val="00F40B40"/>
    <w:rsid w:val="00F424F2"/>
    <w:rsid w:val="00F42A3C"/>
    <w:rsid w:val="00F43AB6"/>
    <w:rsid w:val="00F43BA5"/>
    <w:rsid w:val="00F44686"/>
    <w:rsid w:val="00F47E60"/>
    <w:rsid w:val="00F510C2"/>
    <w:rsid w:val="00F533B2"/>
    <w:rsid w:val="00F535CB"/>
    <w:rsid w:val="00F53CDB"/>
    <w:rsid w:val="00F572E8"/>
    <w:rsid w:val="00F636C4"/>
    <w:rsid w:val="00F67ECB"/>
    <w:rsid w:val="00F70AE0"/>
    <w:rsid w:val="00F716A6"/>
    <w:rsid w:val="00F74672"/>
    <w:rsid w:val="00F75C84"/>
    <w:rsid w:val="00F75E41"/>
    <w:rsid w:val="00F8395C"/>
    <w:rsid w:val="00F8410D"/>
    <w:rsid w:val="00F90005"/>
    <w:rsid w:val="00F90C01"/>
    <w:rsid w:val="00F91901"/>
    <w:rsid w:val="00F928E9"/>
    <w:rsid w:val="00F937C2"/>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D4F2B"/>
    <w:rsid w:val="00FE272F"/>
    <w:rsid w:val="00FE4E40"/>
    <w:rsid w:val="00FE5E2D"/>
    <w:rsid w:val="00FF01D6"/>
    <w:rsid w:val="00FF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84950-F616-4435-B3B7-0AD7895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uiPriority w:val="99"/>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99"/>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 w:type="paragraph" w:customStyle="1" w:styleId="AHPRASubheadinglevel2">
    <w:name w:val="AHPRA Subheading level 2"/>
    <w:basedOn w:val="Normal"/>
    <w:qFormat/>
    <w:rsid w:val="00246848"/>
    <w:pPr>
      <w:spacing w:before="200" w:after="200"/>
    </w:pPr>
    <w:rPr>
      <w:rFonts w:ascii="Arial" w:eastAsiaTheme="minorHAnsi" w:hAnsi="Arial" w:cs="Arial"/>
      <w:b/>
      <w:bCs/>
      <w:sz w:val="20"/>
      <w:szCs w:val="20"/>
      <w:lang w:eastAsia="en-US"/>
    </w:rPr>
  </w:style>
  <w:style w:type="paragraph" w:styleId="EndnoteText">
    <w:name w:val="endnote text"/>
    <w:basedOn w:val="Normal"/>
    <w:link w:val="EndnoteTextChar"/>
    <w:semiHidden/>
    <w:unhideWhenUsed/>
    <w:rsid w:val="00B05BF1"/>
    <w:rPr>
      <w:sz w:val="20"/>
      <w:szCs w:val="20"/>
    </w:rPr>
  </w:style>
  <w:style w:type="character" w:customStyle="1" w:styleId="EndnoteTextChar">
    <w:name w:val="Endnote Text Char"/>
    <w:basedOn w:val="DefaultParagraphFont"/>
    <w:link w:val="EndnoteText"/>
    <w:semiHidden/>
    <w:rsid w:val="00B05BF1"/>
  </w:style>
  <w:style w:type="character" w:styleId="EndnoteReference">
    <w:name w:val="endnote reference"/>
    <w:basedOn w:val="DefaultParagraphFont"/>
    <w:semiHidden/>
    <w:unhideWhenUsed/>
    <w:rsid w:val="00B05BF1"/>
    <w:rPr>
      <w:vertAlign w:val="superscript"/>
    </w:rPr>
  </w:style>
  <w:style w:type="paragraph" w:customStyle="1" w:styleId="AHPRABody1">
    <w:name w:val="AHPRA Body"/>
    <w:basedOn w:val="Normal"/>
    <w:rsid w:val="00095482"/>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14">
      <w:bodyDiv w:val="1"/>
      <w:marLeft w:val="0"/>
      <w:marRight w:val="0"/>
      <w:marTop w:val="0"/>
      <w:marBottom w:val="0"/>
      <w:divBdr>
        <w:top w:val="none" w:sz="0" w:space="0" w:color="auto"/>
        <w:left w:val="none" w:sz="0" w:space="0" w:color="auto"/>
        <w:bottom w:val="none" w:sz="0" w:space="0" w:color="auto"/>
        <w:right w:val="none" w:sz="0" w:space="0" w:color="auto"/>
      </w:divBdr>
      <w:divsChild>
        <w:div w:id="782580710">
          <w:marLeft w:val="0"/>
          <w:marRight w:val="0"/>
          <w:marTop w:val="0"/>
          <w:marBottom w:val="0"/>
          <w:divBdr>
            <w:top w:val="none" w:sz="0" w:space="0" w:color="auto"/>
            <w:left w:val="none" w:sz="0" w:space="0" w:color="auto"/>
            <w:bottom w:val="none" w:sz="0" w:space="0" w:color="auto"/>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52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902">
      <w:bodyDiv w:val="1"/>
      <w:marLeft w:val="0"/>
      <w:marRight w:val="0"/>
      <w:marTop w:val="0"/>
      <w:marBottom w:val="0"/>
      <w:divBdr>
        <w:top w:val="none" w:sz="0" w:space="0" w:color="auto"/>
        <w:left w:val="none" w:sz="0" w:space="0" w:color="auto"/>
        <w:bottom w:val="none" w:sz="0" w:space="0" w:color="auto"/>
        <w:right w:val="none" w:sz="0" w:space="0" w:color="auto"/>
      </w:divBdr>
      <w:divsChild>
        <w:div w:id="1691688659">
          <w:marLeft w:val="0"/>
          <w:marRight w:val="0"/>
          <w:marTop w:val="0"/>
          <w:marBottom w:val="0"/>
          <w:divBdr>
            <w:top w:val="none" w:sz="0" w:space="0" w:color="auto"/>
            <w:left w:val="none" w:sz="0" w:space="0" w:color="auto"/>
            <w:bottom w:val="none" w:sz="0" w:space="0" w:color="auto"/>
            <w:right w:val="none" w:sz="0" w:space="0" w:color="auto"/>
          </w:divBdr>
          <w:divsChild>
            <w:div w:id="425925950">
              <w:marLeft w:val="0"/>
              <w:marRight w:val="0"/>
              <w:marTop w:val="0"/>
              <w:marBottom w:val="0"/>
              <w:divBdr>
                <w:top w:val="none" w:sz="0" w:space="0" w:color="auto"/>
                <w:left w:val="none" w:sz="0" w:space="0" w:color="auto"/>
                <w:bottom w:val="none" w:sz="0" w:space="0" w:color="auto"/>
                <w:right w:val="none" w:sz="0" w:space="0" w:color="auto"/>
              </w:divBdr>
              <w:divsChild>
                <w:div w:id="1578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92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80">
          <w:marLeft w:val="0"/>
          <w:marRight w:val="0"/>
          <w:marTop w:val="0"/>
          <w:marBottom w:val="0"/>
          <w:divBdr>
            <w:top w:val="none" w:sz="0" w:space="0" w:color="auto"/>
            <w:left w:val="none" w:sz="0" w:space="0" w:color="auto"/>
            <w:bottom w:val="none" w:sz="0" w:space="0" w:color="auto"/>
            <w:right w:val="none" w:sz="0" w:space="0" w:color="auto"/>
          </w:divBdr>
          <w:divsChild>
            <w:div w:id="1230073378">
              <w:marLeft w:val="0"/>
              <w:marRight w:val="0"/>
              <w:marTop w:val="0"/>
              <w:marBottom w:val="0"/>
              <w:divBdr>
                <w:top w:val="none" w:sz="0" w:space="0" w:color="auto"/>
                <w:left w:val="none" w:sz="0" w:space="0" w:color="auto"/>
                <w:bottom w:val="none" w:sz="0" w:space="0" w:color="auto"/>
                <w:right w:val="none" w:sz="0" w:space="0" w:color="auto"/>
              </w:divBdr>
              <w:divsChild>
                <w:div w:id="1388603455">
                  <w:marLeft w:val="0"/>
                  <w:marRight w:val="0"/>
                  <w:marTop w:val="0"/>
                  <w:marBottom w:val="0"/>
                  <w:divBdr>
                    <w:top w:val="none" w:sz="0" w:space="0" w:color="auto"/>
                    <w:left w:val="none" w:sz="0" w:space="0" w:color="auto"/>
                    <w:bottom w:val="none" w:sz="0" w:space="0" w:color="auto"/>
                    <w:right w:val="none" w:sz="0" w:space="0" w:color="auto"/>
                  </w:divBdr>
                  <w:divsChild>
                    <w:div w:id="401951921">
                      <w:marLeft w:val="0"/>
                      <w:marRight w:val="0"/>
                      <w:marTop w:val="150"/>
                      <w:marBottom w:val="0"/>
                      <w:divBdr>
                        <w:top w:val="none" w:sz="0" w:space="0" w:color="auto"/>
                        <w:left w:val="none" w:sz="0" w:space="0" w:color="auto"/>
                        <w:bottom w:val="none" w:sz="0" w:space="0" w:color="auto"/>
                        <w:right w:val="none" w:sz="0" w:space="0" w:color="auto"/>
                      </w:divBdr>
                    </w:div>
                  </w:divsChild>
                </w:div>
                <w:div w:id="954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751">
      <w:bodyDiv w:val="1"/>
      <w:marLeft w:val="0"/>
      <w:marRight w:val="0"/>
      <w:marTop w:val="0"/>
      <w:marBottom w:val="0"/>
      <w:divBdr>
        <w:top w:val="none" w:sz="0" w:space="0" w:color="auto"/>
        <w:left w:val="none" w:sz="0" w:space="0" w:color="auto"/>
        <w:bottom w:val="none" w:sz="0" w:space="0" w:color="auto"/>
        <w:right w:val="none" w:sz="0" w:space="0" w:color="auto"/>
      </w:divBdr>
      <w:divsChild>
        <w:div w:id="787624337">
          <w:marLeft w:val="0"/>
          <w:marRight w:val="0"/>
          <w:marTop w:val="0"/>
          <w:marBottom w:val="0"/>
          <w:divBdr>
            <w:top w:val="none" w:sz="0" w:space="0" w:color="auto"/>
            <w:left w:val="none" w:sz="0" w:space="0" w:color="auto"/>
            <w:bottom w:val="none" w:sz="0" w:space="0" w:color="auto"/>
            <w:right w:val="none" w:sz="0" w:space="0" w:color="auto"/>
          </w:divBdr>
          <w:divsChild>
            <w:div w:id="771628105">
              <w:marLeft w:val="0"/>
              <w:marRight w:val="0"/>
              <w:marTop w:val="0"/>
              <w:marBottom w:val="0"/>
              <w:divBdr>
                <w:top w:val="none" w:sz="0" w:space="0" w:color="auto"/>
                <w:left w:val="none" w:sz="0" w:space="0" w:color="auto"/>
                <w:bottom w:val="none" w:sz="0" w:space="0" w:color="auto"/>
                <w:right w:val="none" w:sz="0" w:space="0" w:color="auto"/>
              </w:divBdr>
              <w:divsChild>
                <w:div w:id="10381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049">
      <w:bodyDiv w:val="1"/>
      <w:marLeft w:val="0"/>
      <w:marRight w:val="0"/>
      <w:marTop w:val="0"/>
      <w:marBottom w:val="0"/>
      <w:divBdr>
        <w:top w:val="none" w:sz="0" w:space="0" w:color="auto"/>
        <w:left w:val="none" w:sz="0" w:space="0" w:color="auto"/>
        <w:bottom w:val="none" w:sz="0" w:space="0" w:color="auto"/>
        <w:right w:val="none" w:sz="0" w:space="0" w:color="auto"/>
      </w:divBdr>
      <w:divsChild>
        <w:div w:id="427385430">
          <w:marLeft w:val="0"/>
          <w:marRight w:val="0"/>
          <w:marTop w:val="0"/>
          <w:marBottom w:val="0"/>
          <w:divBdr>
            <w:top w:val="none" w:sz="0" w:space="0" w:color="auto"/>
            <w:left w:val="none" w:sz="0" w:space="0" w:color="auto"/>
            <w:bottom w:val="none" w:sz="0" w:space="0" w:color="auto"/>
            <w:right w:val="none" w:sz="0" w:space="0" w:color="auto"/>
          </w:divBdr>
          <w:divsChild>
            <w:div w:id="1098015088">
              <w:marLeft w:val="0"/>
              <w:marRight w:val="0"/>
              <w:marTop w:val="0"/>
              <w:marBottom w:val="0"/>
              <w:divBdr>
                <w:top w:val="none" w:sz="0" w:space="0" w:color="auto"/>
                <w:left w:val="none" w:sz="0" w:space="0" w:color="auto"/>
                <w:bottom w:val="none" w:sz="0" w:space="0" w:color="auto"/>
                <w:right w:val="none" w:sz="0" w:space="0" w:color="auto"/>
              </w:divBdr>
              <w:divsChild>
                <w:div w:id="2005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519">
      <w:bodyDiv w:val="1"/>
      <w:marLeft w:val="0"/>
      <w:marRight w:val="0"/>
      <w:marTop w:val="0"/>
      <w:marBottom w:val="0"/>
      <w:divBdr>
        <w:top w:val="none" w:sz="0" w:space="0" w:color="auto"/>
        <w:left w:val="none" w:sz="0" w:space="0" w:color="auto"/>
        <w:bottom w:val="none" w:sz="0" w:space="0" w:color="auto"/>
        <w:right w:val="none" w:sz="0" w:space="0" w:color="auto"/>
      </w:divBdr>
      <w:divsChild>
        <w:div w:id="1830825408">
          <w:marLeft w:val="0"/>
          <w:marRight w:val="0"/>
          <w:marTop w:val="0"/>
          <w:marBottom w:val="0"/>
          <w:divBdr>
            <w:top w:val="none" w:sz="0" w:space="0" w:color="auto"/>
            <w:left w:val="none" w:sz="0" w:space="0" w:color="auto"/>
            <w:bottom w:val="none" w:sz="0" w:space="0" w:color="auto"/>
            <w:right w:val="none" w:sz="0" w:space="0" w:color="auto"/>
          </w:divBdr>
          <w:divsChild>
            <w:div w:id="1597401091">
              <w:marLeft w:val="0"/>
              <w:marRight w:val="0"/>
              <w:marTop w:val="0"/>
              <w:marBottom w:val="0"/>
              <w:divBdr>
                <w:top w:val="none" w:sz="0" w:space="0" w:color="auto"/>
                <w:left w:val="none" w:sz="0" w:space="0" w:color="auto"/>
                <w:bottom w:val="none" w:sz="0" w:space="0" w:color="auto"/>
                <w:right w:val="none" w:sz="0" w:space="0" w:color="auto"/>
              </w:divBdr>
              <w:divsChild>
                <w:div w:id="788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450338">
      <w:bodyDiv w:val="1"/>
      <w:marLeft w:val="0"/>
      <w:marRight w:val="0"/>
      <w:marTop w:val="0"/>
      <w:marBottom w:val="0"/>
      <w:divBdr>
        <w:top w:val="none" w:sz="0" w:space="0" w:color="auto"/>
        <w:left w:val="none" w:sz="0" w:space="0" w:color="auto"/>
        <w:bottom w:val="none" w:sz="0" w:space="0" w:color="auto"/>
        <w:right w:val="none" w:sz="0" w:space="0" w:color="auto"/>
      </w:divBdr>
      <w:divsChild>
        <w:div w:id="1565530092">
          <w:marLeft w:val="0"/>
          <w:marRight w:val="0"/>
          <w:marTop w:val="0"/>
          <w:marBottom w:val="0"/>
          <w:divBdr>
            <w:top w:val="none" w:sz="0" w:space="0" w:color="auto"/>
            <w:left w:val="none" w:sz="0" w:space="0" w:color="auto"/>
            <w:bottom w:val="none" w:sz="0" w:space="0" w:color="auto"/>
            <w:right w:val="none" w:sz="0" w:space="0" w:color="auto"/>
          </w:divBdr>
          <w:divsChild>
            <w:div w:id="1701933173">
              <w:marLeft w:val="0"/>
              <w:marRight w:val="0"/>
              <w:marTop w:val="0"/>
              <w:marBottom w:val="0"/>
              <w:divBdr>
                <w:top w:val="none" w:sz="0" w:space="0" w:color="auto"/>
                <w:left w:val="none" w:sz="0" w:space="0" w:color="auto"/>
                <w:bottom w:val="none" w:sz="0" w:space="0" w:color="auto"/>
                <w:right w:val="none" w:sz="0" w:space="0" w:color="auto"/>
              </w:divBdr>
              <w:divsChild>
                <w:div w:id="1861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26759609">
      <w:bodyDiv w:val="1"/>
      <w:marLeft w:val="0"/>
      <w:marRight w:val="0"/>
      <w:marTop w:val="0"/>
      <w:marBottom w:val="0"/>
      <w:divBdr>
        <w:top w:val="none" w:sz="0" w:space="0" w:color="auto"/>
        <w:left w:val="none" w:sz="0" w:space="0" w:color="auto"/>
        <w:bottom w:val="none" w:sz="0" w:space="0" w:color="auto"/>
        <w:right w:val="none" w:sz="0" w:space="0" w:color="auto"/>
      </w:divBdr>
      <w:divsChild>
        <w:div w:id="1588423469">
          <w:marLeft w:val="0"/>
          <w:marRight w:val="0"/>
          <w:marTop w:val="0"/>
          <w:marBottom w:val="0"/>
          <w:divBdr>
            <w:top w:val="none" w:sz="0" w:space="0" w:color="auto"/>
            <w:left w:val="none" w:sz="0" w:space="0" w:color="auto"/>
            <w:bottom w:val="none" w:sz="0" w:space="0" w:color="auto"/>
            <w:right w:val="none" w:sz="0" w:space="0" w:color="auto"/>
          </w:divBdr>
          <w:divsChild>
            <w:div w:id="1863276606">
              <w:marLeft w:val="0"/>
              <w:marRight w:val="0"/>
              <w:marTop w:val="0"/>
              <w:marBottom w:val="0"/>
              <w:divBdr>
                <w:top w:val="none" w:sz="0" w:space="0" w:color="auto"/>
                <w:left w:val="none" w:sz="0" w:space="0" w:color="auto"/>
                <w:bottom w:val="none" w:sz="0" w:space="0" w:color="auto"/>
                <w:right w:val="none" w:sz="0" w:space="0" w:color="auto"/>
              </w:divBdr>
              <w:divsChild>
                <w:div w:id="13538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30118357">
      <w:bodyDiv w:val="1"/>
      <w:marLeft w:val="0"/>
      <w:marRight w:val="0"/>
      <w:marTop w:val="0"/>
      <w:marBottom w:val="0"/>
      <w:divBdr>
        <w:top w:val="none" w:sz="0" w:space="0" w:color="auto"/>
        <w:left w:val="none" w:sz="0" w:space="0" w:color="auto"/>
        <w:bottom w:val="none" w:sz="0" w:space="0" w:color="auto"/>
        <w:right w:val="none" w:sz="0" w:space="0" w:color="auto"/>
      </w:divBdr>
      <w:divsChild>
        <w:div w:id="1434934821">
          <w:marLeft w:val="0"/>
          <w:marRight w:val="0"/>
          <w:marTop w:val="0"/>
          <w:marBottom w:val="0"/>
          <w:divBdr>
            <w:top w:val="none" w:sz="0" w:space="0" w:color="auto"/>
            <w:left w:val="none" w:sz="0" w:space="0" w:color="auto"/>
            <w:bottom w:val="none" w:sz="0" w:space="0" w:color="auto"/>
            <w:right w:val="none" w:sz="0" w:space="0" w:color="auto"/>
          </w:divBdr>
          <w:divsChild>
            <w:div w:id="209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20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sChild>
            <w:div w:id="250897996">
              <w:marLeft w:val="0"/>
              <w:marRight w:val="0"/>
              <w:marTop w:val="0"/>
              <w:marBottom w:val="0"/>
              <w:divBdr>
                <w:top w:val="none" w:sz="0" w:space="0" w:color="auto"/>
                <w:left w:val="none" w:sz="0" w:space="0" w:color="auto"/>
                <w:bottom w:val="none" w:sz="0" w:space="0" w:color="auto"/>
                <w:right w:val="none" w:sz="0" w:space="0" w:color="auto"/>
              </w:divBdr>
              <w:divsChild>
                <w:div w:id="15067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0446598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5">
          <w:marLeft w:val="0"/>
          <w:marRight w:val="0"/>
          <w:marTop w:val="0"/>
          <w:marBottom w:val="0"/>
          <w:divBdr>
            <w:top w:val="none" w:sz="0" w:space="0" w:color="auto"/>
            <w:left w:val="none" w:sz="0" w:space="0" w:color="auto"/>
            <w:bottom w:val="none" w:sz="0" w:space="0" w:color="auto"/>
            <w:right w:val="none" w:sz="0" w:space="0" w:color="auto"/>
          </w:divBdr>
          <w:divsChild>
            <w:div w:id="199977738">
              <w:marLeft w:val="0"/>
              <w:marRight w:val="0"/>
              <w:marTop w:val="0"/>
              <w:marBottom w:val="0"/>
              <w:divBdr>
                <w:top w:val="none" w:sz="0" w:space="0" w:color="auto"/>
                <w:left w:val="none" w:sz="0" w:space="0" w:color="auto"/>
                <w:bottom w:val="none" w:sz="0" w:space="0" w:color="auto"/>
                <w:right w:val="none" w:sz="0" w:space="0" w:color="auto"/>
              </w:divBdr>
              <w:divsChild>
                <w:div w:id="298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267">
      <w:bodyDiv w:val="1"/>
      <w:marLeft w:val="0"/>
      <w:marRight w:val="0"/>
      <w:marTop w:val="0"/>
      <w:marBottom w:val="0"/>
      <w:divBdr>
        <w:top w:val="none" w:sz="0" w:space="0" w:color="auto"/>
        <w:left w:val="none" w:sz="0" w:space="0" w:color="auto"/>
        <w:bottom w:val="none" w:sz="0" w:space="0" w:color="auto"/>
        <w:right w:val="none" w:sz="0" w:space="0" w:color="auto"/>
      </w:divBdr>
      <w:divsChild>
        <w:div w:id="68776073">
          <w:marLeft w:val="0"/>
          <w:marRight w:val="0"/>
          <w:marTop w:val="0"/>
          <w:marBottom w:val="0"/>
          <w:divBdr>
            <w:top w:val="none" w:sz="0" w:space="0" w:color="auto"/>
            <w:left w:val="none" w:sz="0" w:space="0" w:color="auto"/>
            <w:bottom w:val="none" w:sz="0" w:space="0" w:color="auto"/>
            <w:right w:val="none" w:sz="0" w:space="0" w:color="auto"/>
          </w:divBdr>
          <w:divsChild>
            <w:div w:id="506944178">
              <w:marLeft w:val="0"/>
              <w:marRight w:val="0"/>
              <w:marTop w:val="0"/>
              <w:marBottom w:val="0"/>
              <w:divBdr>
                <w:top w:val="none" w:sz="0" w:space="0" w:color="auto"/>
                <w:left w:val="none" w:sz="0" w:space="0" w:color="auto"/>
                <w:bottom w:val="none" w:sz="0" w:space="0" w:color="auto"/>
                <w:right w:val="none" w:sz="0" w:space="0" w:color="auto"/>
              </w:divBdr>
              <w:divsChild>
                <w:div w:id="12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2276">
      <w:bodyDiv w:val="1"/>
      <w:marLeft w:val="0"/>
      <w:marRight w:val="0"/>
      <w:marTop w:val="0"/>
      <w:marBottom w:val="0"/>
      <w:divBdr>
        <w:top w:val="none" w:sz="0" w:space="0" w:color="auto"/>
        <w:left w:val="none" w:sz="0" w:space="0" w:color="auto"/>
        <w:bottom w:val="none" w:sz="0" w:space="0" w:color="auto"/>
        <w:right w:val="none" w:sz="0" w:space="0" w:color="auto"/>
      </w:divBdr>
      <w:divsChild>
        <w:div w:id="219169262">
          <w:marLeft w:val="0"/>
          <w:marRight w:val="0"/>
          <w:marTop w:val="0"/>
          <w:marBottom w:val="0"/>
          <w:divBdr>
            <w:top w:val="none" w:sz="0" w:space="0" w:color="auto"/>
            <w:left w:val="none" w:sz="0" w:space="0" w:color="auto"/>
            <w:bottom w:val="none" w:sz="0" w:space="0" w:color="auto"/>
            <w:right w:val="none" w:sz="0" w:space="0" w:color="auto"/>
          </w:divBdr>
          <w:divsChild>
            <w:div w:id="2090731187">
              <w:marLeft w:val="0"/>
              <w:marRight w:val="0"/>
              <w:marTop w:val="0"/>
              <w:marBottom w:val="0"/>
              <w:divBdr>
                <w:top w:val="none" w:sz="0" w:space="0" w:color="auto"/>
                <w:left w:val="none" w:sz="0" w:space="0" w:color="auto"/>
                <w:bottom w:val="none" w:sz="0" w:space="0" w:color="auto"/>
                <w:right w:val="none" w:sz="0" w:space="0" w:color="auto"/>
              </w:divBdr>
              <w:divsChild>
                <w:div w:id="430708721">
                  <w:marLeft w:val="0"/>
                  <w:marRight w:val="0"/>
                  <w:marTop w:val="0"/>
                  <w:marBottom w:val="0"/>
                  <w:divBdr>
                    <w:top w:val="none" w:sz="0" w:space="0" w:color="auto"/>
                    <w:left w:val="none" w:sz="0" w:space="0" w:color="auto"/>
                    <w:bottom w:val="none" w:sz="0" w:space="0" w:color="auto"/>
                    <w:right w:val="none" w:sz="0" w:space="0" w:color="auto"/>
                  </w:divBdr>
                  <w:divsChild>
                    <w:div w:id="960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879">
      <w:bodyDiv w:val="1"/>
      <w:marLeft w:val="0"/>
      <w:marRight w:val="0"/>
      <w:marTop w:val="0"/>
      <w:marBottom w:val="0"/>
      <w:divBdr>
        <w:top w:val="none" w:sz="0" w:space="0" w:color="auto"/>
        <w:left w:val="none" w:sz="0" w:space="0" w:color="auto"/>
        <w:bottom w:val="none" w:sz="0" w:space="0" w:color="auto"/>
        <w:right w:val="none" w:sz="0" w:space="0" w:color="auto"/>
      </w:divBdr>
      <w:divsChild>
        <w:div w:id="1480339666">
          <w:marLeft w:val="0"/>
          <w:marRight w:val="0"/>
          <w:marTop w:val="0"/>
          <w:marBottom w:val="0"/>
          <w:divBdr>
            <w:top w:val="none" w:sz="0" w:space="0" w:color="auto"/>
            <w:left w:val="none" w:sz="0" w:space="0" w:color="auto"/>
            <w:bottom w:val="none" w:sz="0" w:space="0" w:color="auto"/>
            <w:right w:val="none" w:sz="0" w:space="0" w:color="auto"/>
          </w:divBdr>
          <w:divsChild>
            <w:div w:id="1602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55866268">
      <w:bodyDiv w:val="1"/>
      <w:marLeft w:val="0"/>
      <w:marRight w:val="0"/>
      <w:marTop w:val="0"/>
      <w:marBottom w:val="0"/>
      <w:divBdr>
        <w:top w:val="none" w:sz="0" w:space="0" w:color="auto"/>
        <w:left w:val="none" w:sz="0" w:space="0" w:color="auto"/>
        <w:bottom w:val="none" w:sz="0" w:space="0" w:color="auto"/>
        <w:right w:val="none" w:sz="0" w:space="0" w:color="auto"/>
      </w:divBdr>
      <w:divsChild>
        <w:div w:id="1627469130">
          <w:marLeft w:val="0"/>
          <w:marRight w:val="0"/>
          <w:marTop w:val="0"/>
          <w:marBottom w:val="0"/>
          <w:divBdr>
            <w:top w:val="none" w:sz="0" w:space="0" w:color="auto"/>
            <w:left w:val="none" w:sz="0" w:space="0" w:color="auto"/>
            <w:bottom w:val="none" w:sz="0" w:space="0" w:color="auto"/>
            <w:right w:val="none" w:sz="0" w:space="0" w:color="auto"/>
          </w:divBdr>
          <w:divsChild>
            <w:div w:id="1297679993">
              <w:marLeft w:val="0"/>
              <w:marRight w:val="0"/>
              <w:marTop w:val="0"/>
              <w:marBottom w:val="0"/>
              <w:divBdr>
                <w:top w:val="none" w:sz="0" w:space="0" w:color="auto"/>
                <w:left w:val="none" w:sz="0" w:space="0" w:color="auto"/>
                <w:bottom w:val="none" w:sz="0" w:space="0" w:color="auto"/>
                <w:right w:val="none" w:sz="0" w:space="0" w:color="auto"/>
              </w:divBdr>
              <w:divsChild>
                <w:div w:id="1457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765">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Codes-Guidelines/FAQ.aspx?utm_source=email&amp;utm_medium=linktoFAQpage&amp;utm_campaign=compoundingFAQrelease" TargetMode="External"/><Relationship Id="rId13" Type="http://schemas.openxmlformats.org/officeDocument/2006/relationships/hyperlink" Target="http://www.pharmacyboard.gov.au/News/Current-Consultation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hyperlink" Target="http://www.ahpra.gov.au/About-AHPRA/What-We-Do.aspx" TargetMode="External"/><Relationship Id="rId2" Type="http://schemas.openxmlformats.org/officeDocument/2006/relationships/numbering" Target="numbering.xml"/><Relationship Id="rId16" Type="http://schemas.openxmlformats.org/officeDocument/2006/relationships/hyperlink" Target="http://www.pharmacyboar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5" Type="http://schemas.openxmlformats.org/officeDocument/2006/relationships/webSettings" Target="webSettings.xml"/><Relationship Id="rId15" Type="http://schemas.openxmlformats.org/officeDocument/2006/relationships/hyperlink" Target="http://www.ahpra.gov.au/News/2015-03-27-media-statement.aspx" TargetMode="External"/><Relationship Id="rId10" Type="http://schemas.openxmlformats.org/officeDocument/2006/relationships/hyperlink" Target="http://www.ahpra.gov.au/Registration/Registers-of-Practitioner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acyboard.gov.au/Codes-Guidelines.aspx?utm_source=email&amp;utm_medium=linktoCodesandGuidelinespage&amp;utm_campaign=compoundingFAQrelease" TargetMode="External"/><Relationship Id="rId14" Type="http://schemas.openxmlformats.org/officeDocument/2006/relationships/hyperlink" Target="http://www.ahpra.gov.au/Publications/Corporate-public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03056-FD7C-4C21-9C4A-C32F8576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6752</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dc:title>
  <dc:subject>Communique</dc:subject>
  <dc:creator>Pharmacy Board</dc:creator>
  <cp:keywords>17 April 2015</cp:keywords>
  <cp:lastModifiedBy>Tara Johnson</cp:lastModifiedBy>
  <cp:revision>2</cp:revision>
  <cp:lastPrinted>2015-02-04T02:22:00Z</cp:lastPrinted>
  <dcterms:created xsi:type="dcterms:W3CDTF">2015-04-28T05:23:00Z</dcterms:created>
  <dcterms:modified xsi:type="dcterms:W3CDTF">2015-04-28T05:23:00Z</dcterms:modified>
</cp:coreProperties>
</file>