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461180" w:rsidRDefault="00F93F8C" w:rsidP="00192714">
      <w:pPr>
        <w:pStyle w:val="AHPRADocumenttitle"/>
      </w:pPr>
      <w:r>
        <w:t>Public c</w:t>
      </w:r>
      <w:r w:rsidR="00192714" w:rsidRPr="00461180">
        <w:t xml:space="preserve">onsultation </w:t>
      </w:r>
      <w:r w:rsidR="0058421F" w:rsidRPr="00461180">
        <w:t xml:space="preserve">on </w:t>
      </w:r>
      <w:r w:rsidR="00F65455" w:rsidRPr="00461180">
        <w:t xml:space="preserve">the </w:t>
      </w:r>
      <w:r>
        <w:t xml:space="preserve">review of guidance on expiry of compounded parenteral medicines – Pharmacy Board of Australia </w:t>
      </w:r>
      <w:r>
        <w:rPr>
          <w:i/>
        </w:rPr>
        <w:t xml:space="preserve">Guidelines on compounding of medicines </w:t>
      </w:r>
    </w:p>
    <w:p w:rsidR="00192714" w:rsidRPr="0071260D" w:rsidRDefault="00BE095D" w:rsidP="00192714">
      <w:pPr>
        <w:pStyle w:val="AHPRAHeadline"/>
        <w:outlineLvl w:val="0"/>
        <w:rPr>
          <w:sz w:val="20"/>
        </w:rPr>
      </w:pPr>
      <w:r>
        <w:rPr>
          <w:noProof/>
          <w:sz w:val="20"/>
          <w:lang w:val="en-GB" w:eastAsia="en-GB"/>
        </w:rPr>
        <w:pict>
          <v:shapetype id="_x0000_t32" coordsize="21600,21600" o:spt="32" o:oned="t" path="m,l21600,21600e" filled="f">
            <v:path arrowok="t" fillok="f" o:connecttype="none"/>
            <o:lock v:ext="edit" shapetype="t"/>
          </v:shapetype>
          <v:shape id="AutoShape 3" o:spid="_x0000_s1029" type="#_x0000_t32" style="position:absolute;margin-left:-55.65pt;margin-top:.15pt;width:28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235B87" w:rsidP="0071260D">
      <w:pPr>
        <w:pStyle w:val="AHPRAbodytext"/>
        <w:spacing w:before="200"/>
      </w:pPr>
      <w:r>
        <w:t>1 February 2016</w:t>
      </w:r>
      <w:bookmarkStart w:id="0" w:name="_GoBack"/>
      <w:bookmarkEnd w:id="0"/>
    </w:p>
    <w:p w:rsidR="00192714" w:rsidRPr="00AE0BFA" w:rsidRDefault="0058421F" w:rsidP="00192714">
      <w:pPr>
        <w:pStyle w:val="AHPRADocumentsubheading"/>
      </w:pPr>
      <w:r>
        <w:t xml:space="preserve">Responses to consultation questions </w:t>
      </w:r>
    </w:p>
    <w:p w:rsidR="00E2141B" w:rsidRPr="000D72F6" w:rsidRDefault="00E2141B" w:rsidP="00E2141B">
      <w:pPr>
        <w:pStyle w:val="AHPRAbody"/>
        <w:ind w:right="-306"/>
        <w:rPr>
          <w:rFonts w:ascii="Arial" w:hAnsi="Arial"/>
          <w:b/>
          <w:color w:val="000000" w:themeColor="text1"/>
        </w:rPr>
      </w:pPr>
      <w:r w:rsidRPr="00E2141B">
        <w:rPr>
          <w:rFonts w:ascii="Arial" w:hAnsi="Arial"/>
          <w:b/>
        </w:rPr>
        <w:t xml:space="preserve">Please provide your feedback </w:t>
      </w:r>
      <w:r w:rsidR="000A04E2">
        <w:rPr>
          <w:rFonts w:ascii="Arial" w:hAnsi="Arial"/>
          <w:b/>
          <w:bCs/>
          <w:szCs w:val="20"/>
        </w:rPr>
        <w:t>as a W</w:t>
      </w:r>
      <w:r w:rsidRPr="00E2141B">
        <w:rPr>
          <w:rFonts w:ascii="Arial" w:hAnsi="Arial"/>
          <w:b/>
          <w:bCs/>
          <w:szCs w:val="20"/>
        </w:rPr>
        <w:t>ord documen</w:t>
      </w:r>
      <w:r w:rsidR="00515FBC">
        <w:rPr>
          <w:rFonts w:ascii="Arial" w:hAnsi="Arial"/>
          <w:b/>
          <w:bCs/>
          <w:szCs w:val="20"/>
        </w:rPr>
        <w:t>t (or equivalent)</w:t>
      </w:r>
      <w:r w:rsidR="00515FBC" w:rsidRPr="009252FC">
        <w:rPr>
          <w:rStyle w:val="FootnoteReference"/>
          <w:b/>
        </w:rPr>
        <w:footnoteReference w:id="1"/>
      </w:r>
      <w:r w:rsidRPr="00E2141B">
        <w:rPr>
          <w:rFonts w:ascii="Arial" w:hAnsi="Arial"/>
          <w:b/>
          <w:bCs/>
          <w:szCs w:val="20"/>
        </w:rPr>
        <w:t xml:space="preserve"> </w:t>
      </w:r>
      <w:r w:rsidRPr="000D72F6">
        <w:rPr>
          <w:rFonts w:ascii="Arial" w:hAnsi="Arial"/>
          <w:b/>
        </w:rPr>
        <w:t xml:space="preserve">to </w:t>
      </w:r>
      <w:hyperlink r:id="rId8" w:history="1">
        <w:r w:rsidR="001D5537" w:rsidRPr="000D72F6">
          <w:rPr>
            <w:rStyle w:val="Hyperlink"/>
            <w:rFonts w:ascii="Arial" w:hAnsi="Arial"/>
            <w:b/>
            <w:lang w:val="en-US"/>
          </w:rPr>
          <w:t>pharmacyconsultation@ahpra.gov.au</w:t>
        </w:r>
      </w:hyperlink>
      <w:r w:rsidRPr="000D72F6">
        <w:rPr>
          <w:rFonts w:ascii="Arial" w:hAnsi="Arial"/>
          <w:b/>
        </w:rPr>
        <w:t xml:space="preserve"> </w:t>
      </w:r>
      <w:bookmarkStart w:id="1" w:name="_Toc320239872"/>
      <w:r w:rsidRPr="000D72F6">
        <w:rPr>
          <w:rFonts w:ascii="Arial" w:hAnsi="Arial"/>
          <w:b/>
        </w:rPr>
        <w:t xml:space="preserve">by close of business on </w:t>
      </w:r>
      <w:r w:rsidR="00235B87">
        <w:rPr>
          <w:rFonts w:ascii="Arial" w:hAnsi="Arial"/>
          <w:b/>
        </w:rPr>
        <w:t>Wednesday 30 March 2016</w:t>
      </w:r>
      <w:r w:rsidRPr="001146E1">
        <w:rPr>
          <w:rFonts w:ascii="Arial" w:hAnsi="Arial"/>
          <w:b/>
        </w:rPr>
        <w:t>.</w:t>
      </w:r>
      <w:r w:rsidRPr="000D72F6">
        <w:rPr>
          <w:rFonts w:ascii="Arial" w:hAnsi="Arial"/>
          <w:b/>
        </w:rPr>
        <w:t xml:space="preserve"> </w:t>
      </w:r>
    </w:p>
    <w:bookmarkEnd w:id="1"/>
    <w:p w:rsidR="00E2141B" w:rsidRDefault="00E2141B" w:rsidP="00E2141B">
      <w:pPr>
        <w:pStyle w:val="AHPRASubhead"/>
        <w:jc w:val="both"/>
      </w:pPr>
      <w:r w:rsidRPr="000D72F6">
        <w:t>Stakeholder Details</w:t>
      </w:r>
    </w:p>
    <w:p w:rsidR="00E2141B" w:rsidRDefault="00E2141B" w:rsidP="00E2141B">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14649"/>
      </w:tblGrid>
      <w:tr w:rsidR="001F63F8" w:rsidTr="001F63F8">
        <w:tc>
          <w:tcPr>
            <w:tcW w:w="5000" w:type="pct"/>
            <w:shd w:val="clear" w:color="auto" w:fill="DAEEF3" w:themeFill="accent5" w:themeFillTint="33"/>
          </w:tcPr>
          <w:p w:rsidR="001F63F8" w:rsidRPr="00E8412E" w:rsidRDefault="001F63F8" w:rsidP="00720E57">
            <w:pPr>
              <w:pStyle w:val="TableText"/>
              <w:keepNext w:val="0"/>
              <w:jc w:val="both"/>
              <w:rPr>
                <w:rFonts w:ascii="Arial" w:hAnsi="Arial" w:cs="Arial"/>
                <w:color w:val="auto"/>
                <w:szCs w:val="20"/>
              </w:rPr>
            </w:pPr>
            <w:r>
              <w:rPr>
                <w:rFonts w:ascii="Arial" w:hAnsi="Arial" w:cs="Arial"/>
                <w:b/>
                <w:color w:val="auto"/>
                <w:szCs w:val="20"/>
              </w:rPr>
              <w:t xml:space="preserve">Organisation </w:t>
            </w:r>
            <w:r w:rsidR="00720E57">
              <w:rPr>
                <w:rFonts w:ascii="Arial" w:hAnsi="Arial" w:cs="Arial"/>
                <w:b/>
                <w:color w:val="auto"/>
                <w:szCs w:val="20"/>
              </w:rPr>
              <w:t>details</w:t>
            </w:r>
          </w:p>
        </w:tc>
      </w:tr>
      <w:tr w:rsidR="001F63F8" w:rsidTr="001F63F8">
        <w:tc>
          <w:tcPr>
            <w:tcW w:w="5000" w:type="pct"/>
          </w:tcPr>
          <w:p w:rsidR="00720E57" w:rsidRPr="00720E57" w:rsidRDefault="00720E57" w:rsidP="00720E57">
            <w:pPr>
              <w:pStyle w:val="TableText"/>
              <w:keepNext w:val="0"/>
              <w:jc w:val="both"/>
              <w:rPr>
                <w:rFonts w:ascii="Arial" w:hAnsi="Arial" w:cs="Arial"/>
                <w:b/>
                <w:color w:val="auto"/>
                <w:szCs w:val="20"/>
              </w:rPr>
            </w:pPr>
            <w:r w:rsidRPr="00720E57">
              <w:rPr>
                <w:rFonts w:ascii="Arial" w:hAnsi="Arial" w:cs="Arial"/>
                <w:b/>
                <w:color w:val="auto"/>
                <w:szCs w:val="20"/>
              </w:rPr>
              <w:t xml:space="preserve">Organisation name: </w:t>
            </w:r>
          </w:p>
          <w:p w:rsidR="001F63F8" w:rsidRPr="00720E57" w:rsidRDefault="00720E57" w:rsidP="00720E57">
            <w:pPr>
              <w:pStyle w:val="TableText"/>
              <w:keepNext w:val="0"/>
              <w:jc w:val="both"/>
              <w:rPr>
                <w:rFonts w:ascii="Arial" w:hAnsi="Arial" w:cs="Arial"/>
                <w:b/>
                <w:color w:val="auto"/>
                <w:szCs w:val="20"/>
              </w:rPr>
            </w:pPr>
            <w:r w:rsidRPr="00720E57">
              <w:rPr>
                <w:rFonts w:ascii="Arial" w:hAnsi="Arial" w:cs="Arial"/>
                <w:b/>
                <w:color w:val="auto"/>
                <w:szCs w:val="20"/>
              </w:rPr>
              <w:t xml:space="preserve">Contact name: </w:t>
            </w:r>
          </w:p>
          <w:p w:rsidR="00720E57" w:rsidRPr="00720E57" w:rsidRDefault="00720E57" w:rsidP="00720E57">
            <w:pPr>
              <w:pStyle w:val="TableText"/>
              <w:keepNext w:val="0"/>
              <w:jc w:val="both"/>
              <w:rPr>
                <w:rFonts w:ascii="Arial" w:hAnsi="Arial" w:cs="Arial"/>
                <w:b/>
                <w:color w:val="auto"/>
                <w:szCs w:val="20"/>
              </w:rPr>
            </w:pPr>
            <w:r w:rsidRPr="00720E57">
              <w:rPr>
                <w:rFonts w:ascii="Arial" w:hAnsi="Arial" w:cs="Arial"/>
                <w:b/>
                <w:color w:val="auto"/>
                <w:szCs w:val="20"/>
              </w:rPr>
              <w:t xml:space="preserve">E-mail address: </w:t>
            </w:r>
          </w:p>
        </w:tc>
      </w:tr>
    </w:tbl>
    <w:p w:rsidR="00720E57" w:rsidRDefault="00720E57" w:rsidP="00720E57">
      <w:pPr>
        <w:pStyle w:val="AHPRASubhead"/>
        <w:spacing w:before="120" w:after="120"/>
      </w:pPr>
    </w:p>
    <w:p w:rsidR="00A43430" w:rsidRPr="00720E57" w:rsidRDefault="00720E57" w:rsidP="00720E57">
      <w:pPr>
        <w:spacing w:line="240" w:lineRule="auto"/>
        <w:rPr>
          <w:rFonts w:ascii="Arial" w:hAnsi="Arial"/>
          <w:b/>
          <w:color w:val="008EC4"/>
          <w:sz w:val="20"/>
          <w:szCs w:val="24"/>
          <w:lang w:val="en-US"/>
        </w:rPr>
      </w:pPr>
      <w:r>
        <w:br w:type="page"/>
      </w:r>
      <w:r w:rsidR="00547923" w:rsidRPr="00720E57">
        <w:rPr>
          <w:rFonts w:ascii="Arial" w:hAnsi="Arial"/>
          <w:b/>
          <w:color w:val="008EC4"/>
          <w:sz w:val="20"/>
          <w:szCs w:val="24"/>
          <w:lang w:val="en-US"/>
        </w:rPr>
        <w:lastRenderedPageBreak/>
        <w:t>Your r</w:t>
      </w:r>
      <w:r w:rsidR="00A43430" w:rsidRPr="00720E57">
        <w:rPr>
          <w:rFonts w:ascii="Arial" w:hAnsi="Arial"/>
          <w:b/>
          <w:color w:val="008EC4"/>
          <w:sz w:val="20"/>
          <w:szCs w:val="24"/>
          <w:lang w:val="en-US"/>
        </w:rPr>
        <w:t xml:space="preserve">esponses to consultation questions </w:t>
      </w:r>
      <w:r w:rsidR="004E13C1" w:rsidRPr="00720E57">
        <w:rPr>
          <w:rFonts w:ascii="Arial" w:hAnsi="Arial"/>
          <w:b/>
          <w:color w:val="008EC4"/>
          <w:sz w:val="20"/>
          <w:szCs w:val="24"/>
          <w:lang w:val="en-US"/>
        </w:rPr>
        <w:t xml:space="preserve">on the draft </w:t>
      </w:r>
      <w:r w:rsidR="00461180" w:rsidRPr="00720E57">
        <w:rPr>
          <w:rFonts w:ascii="Arial" w:hAnsi="Arial"/>
          <w:b/>
          <w:color w:val="008EC4"/>
          <w:sz w:val="20"/>
          <w:szCs w:val="24"/>
          <w:lang w:val="en-US"/>
        </w:rPr>
        <w:t>proposed guidance</w:t>
      </w:r>
    </w:p>
    <w:tbl>
      <w:tblPr>
        <w:tblStyle w:val="TableGrid"/>
        <w:tblW w:w="0" w:type="auto"/>
        <w:tblLook w:val="04A0" w:firstRow="1" w:lastRow="0" w:firstColumn="1" w:lastColumn="0" w:noHBand="0" w:noVBand="1"/>
      </w:tblPr>
      <w:tblGrid>
        <w:gridCol w:w="5211"/>
        <w:gridCol w:w="9498"/>
      </w:tblGrid>
      <w:tr w:rsidR="00720E57" w:rsidTr="00720E57">
        <w:tc>
          <w:tcPr>
            <w:tcW w:w="5211" w:type="dxa"/>
          </w:tcPr>
          <w:p w:rsidR="00720E57" w:rsidRPr="00720E57" w:rsidRDefault="00720E57" w:rsidP="00720E57">
            <w:pPr>
              <w:pStyle w:val="AHPRASubhead"/>
              <w:numPr>
                <w:ilvl w:val="0"/>
                <w:numId w:val="11"/>
              </w:numPr>
              <w:spacing w:before="120" w:after="120"/>
              <w:rPr>
                <w:color w:val="000000" w:themeColor="text1"/>
              </w:rPr>
            </w:pPr>
            <w:r w:rsidRPr="00720E57">
              <w:rPr>
                <w:rFonts w:cs="Arial"/>
                <w:color w:val="000000" w:themeColor="text1"/>
                <w:szCs w:val="20"/>
              </w:rPr>
              <w:t>Has the proposed guidance been expressed clearly?</w:t>
            </w:r>
          </w:p>
        </w:tc>
        <w:tc>
          <w:tcPr>
            <w:tcW w:w="9498" w:type="dxa"/>
          </w:tcPr>
          <w:p w:rsidR="00720E57" w:rsidRDefault="00720E57" w:rsidP="00720E57">
            <w:pPr>
              <w:pStyle w:val="AHPRASubhead"/>
              <w:spacing w:before="120" w:after="120"/>
              <w:rPr>
                <w:b w:val="0"/>
                <w:color w:val="000000" w:themeColor="text1"/>
              </w:rPr>
            </w:pP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t>Does the revised guidance adequately address the concerns raised by stakeholders, that the published (postponed) guidance would inhibit or impact patient access to compounded parenteral medicines?</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720E57" w:rsidP="00720E57">
            <w:pPr>
              <w:pStyle w:val="AHPRASubhead"/>
              <w:spacing w:before="120" w:after="120"/>
              <w:rPr>
                <w:b w:val="0"/>
                <w:color w:val="000000" w:themeColor="text1"/>
              </w:rPr>
            </w:pP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t>Does the revised guidance support patient safety when supplying compounded parenteral (sterile injectable) medicines?</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720E57" w:rsidP="00720E57">
            <w:pPr>
              <w:pStyle w:val="AHPRASubhead"/>
              <w:spacing w:before="120" w:after="120"/>
              <w:rPr>
                <w:b w:val="0"/>
                <w:color w:val="000000" w:themeColor="text1"/>
              </w:rPr>
            </w:pP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t>Do you have any suggestions for questions to be included in the Board’s FAQ for pharmacists on the compounding of medicines, to support pharmacists in their understanding and application of this guidance?</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720E57" w:rsidP="00720E57">
            <w:pPr>
              <w:pStyle w:val="AHPRASubhead"/>
              <w:spacing w:before="120" w:after="120"/>
              <w:rPr>
                <w:b w:val="0"/>
                <w:color w:val="000000" w:themeColor="text1"/>
              </w:rPr>
            </w:pP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t>Do you have any suggestions on how the proposed guidance could be improved (e.g. any content that should be changed, added or deleted), while still being in accordance with the public interest?</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720E57" w:rsidP="00720E57">
            <w:pPr>
              <w:pStyle w:val="AHPRASubhead"/>
              <w:spacing w:before="120" w:after="120"/>
              <w:rPr>
                <w:b w:val="0"/>
                <w:color w:val="000000" w:themeColor="text1"/>
              </w:rPr>
            </w:pP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720E57" w:rsidRPr="00F93F8C" w:rsidRDefault="00720E57" w:rsidP="00720E57">
            <w:pPr>
              <w:pStyle w:val="AHPRASubhead"/>
              <w:numPr>
                <w:ilvl w:val="0"/>
                <w:numId w:val="11"/>
              </w:numPr>
              <w:spacing w:before="120" w:after="120"/>
              <w:rPr>
                <w:rFonts w:cs="Arial"/>
                <w:color w:val="000000" w:themeColor="text1"/>
                <w:szCs w:val="20"/>
              </w:rPr>
            </w:pPr>
            <w:r w:rsidRPr="00720E57">
              <w:rPr>
                <w:rFonts w:cs="Arial"/>
                <w:color w:val="000000" w:themeColor="text1"/>
                <w:szCs w:val="20"/>
              </w:rPr>
              <w:t>Do you have any other comments on the proposed guidance?</w:t>
            </w:r>
          </w:p>
        </w:tc>
        <w:tc>
          <w:tcPr>
            <w:tcW w:w="9498" w:type="dxa"/>
          </w:tcPr>
          <w:p w:rsidR="00720E57" w:rsidRDefault="00720E57" w:rsidP="00720E57">
            <w:pPr>
              <w:pStyle w:val="AHPRASubhead"/>
              <w:spacing w:before="120" w:after="120"/>
              <w:rPr>
                <w:b w:val="0"/>
                <w:color w:val="000000" w:themeColor="text1"/>
              </w:rPr>
            </w:pP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bl>
    <w:p w:rsidR="00D500CB" w:rsidRPr="00720E57" w:rsidRDefault="000A04E2" w:rsidP="00720E57">
      <w:pPr>
        <w:pStyle w:val="TableText"/>
        <w:keepNext w:val="0"/>
        <w:ind w:left="142"/>
        <w:rPr>
          <w:rFonts w:ascii="Arial" w:hAnsi="Arial"/>
          <w:b/>
        </w:rPr>
      </w:pPr>
      <w:r w:rsidRPr="00E2141B">
        <w:rPr>
          <w:rFonts w:ascii="Arial" w:hAnsi="Arial"/>
          <w:b/>
        </w:rPr>
        <w:lastRenderedPageBreak/>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sidR="00D500CB">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9" w:history="1">
        <w:r w:rsidR="001D5537" w:rsidRPr="000D72F6">
          <w:rPr>
            <w:rStyle w:val="Hyperlink"/>
            <w:rFonts w:ascii="Arial" w:hAnsi="Arial" w:cs="Arial"/>
            <w:b/>
          </w:rPr>
          <w:t>pharmacyconsultation@ahpra.gov.au</w:t>
        </w:r>
      </w:hyperlink>
      <w:r w:rsidRPr="000D72F6">
        <w:rPr>
          <w:rFonts w:ascii="Arial" w:hAnsi="Arial"/>
          <w:b/>
        </w:rPr>
        <w:t xml:space="preserve"> by close of business on </w:t>
      </w:r>
      <w:r w:rsidR="005A75F0">
        <w:rPr>
          <w:rFonts w:ascii="Arial" w:hAnsi="Arial"/>
          <w:b/>
        </w:rPr>
        <w:t xml:space="preserve">Wednesday 30 March </w:t>
      </w:r>
      <w:r w:rsidR="00461180" w:rsidRPr="001146E1">
        <w:rPr>
          <w:rFonts w:ascii="Arial" w:hAnsi="Arial"/>
          <w:b/>
        </w:rPr>
        <w:t>201</w:t>
      </w:r>
      <w:r w:rsidR="005A75F0">
        <w:rPr>
          <w:rFonts w:ascii="Arial" w:hAnsi="Arial"/>
          <w:b/>
        </w:rPr>
        <w:t>6</w:t>
      </w:r>
      <w:r w:rsidR="00461180" w:rsidRPr="001146E1">
        <w:rPr>
          <w:rFonts w:ascii="Arial" w:hAnsi="Arial"/>
          <w:b/>
        </w:rPr>
        <w:t>.</w:t>
      </w:r>
    </w:p>
    <w:sectPr w:rsidR="00D500CB" w:rsidRPr="00720E57" w:rsidSect="00720E57">
      <w:footerReference w:type="default" r:id="rId10"/>
      <w:headerReference w:type="first" r:id="rId11"/>
      <w:footerReference w:type="first" r:id="rId12"/>
      <w:pgSz w:w="16838" w:h="11906" w:orient="landscape"/>
      <w:pgMar w:top="1440" w:right="1134" w:bottom="1440" w:left="993"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57" w:rsidRDefault="00720E57" w:rsidP="00A43430">
      <w:pPr>
        <w:spacing w:after="0" w:line="240" w:lineRule="auto"/>
      </w:pPr>
      <w:r>
        <w:separator/>
      </w:r>
    </w:p>
  </w:endnote>
  <w:endnote w:type="continuationSeparator" w:id="0">
    <w:p w:rsidR="00720E57" w:rsidRDefault="00720E57"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8"/>
      </w:rPr>
      <w:id w:val="4061524"/>
      <w:docPartObj>
        <w:docPartGallery w:val="Page Numbers (Top of Page)"/>
        <w:docPartUnique/>
      </w:docPartObj>
    </w:sdtPr>
    <w:sdtEndPr>
      <w:rPr>
        <w:sz w:val="18"/>
      </w:rPr>
    </w:sdtEndPr>
    <w:sdtContent>
      <w:p w:rsidR="00720E57" w:rsidRPr="002B58C9" w:rsidRDefault="00B477E7" w:rsidP="00720E57">
        <w:pPr>
          <w:pStyle w:val="Header"/>
          <w:tabs>
            <w:tab w:val="clear" w:pos="4680"/>
            <w:tab w:val="clear" w:pos="9360"/>
            <w:tab w:val="center" w:pos="4820"/>
            <w:tab w:val="right" w:pos="9072"/>
          </w:tabs>
          <w:rPr>
            <w:rFonts w:ascii="Arial" w:hAnsi="Arial" w:cs="Arial"/>
            <w:b/>
            <w:sz w:val="18"/>
          </w:rPr>
        </w:pPr>
        <w:r>
          <w:rPr>
            <w:rFonts w:ascii="Arial" w:hAnsi="Arial" w:cs="Arial"/>
            <w:sz w:val="18"/>
          </w:rPr>
          <w:t>Pharmacy Board of Australia</w:t>
        </w:r>
        <w:r>
          <w:rPr>
            <w:rFonts w:ascii="Arial" w:hAnsi="Arial" w:cs="Arial"/>
            <w:sz w:val="18"/>
          </w:rPr>
          <w:tab/>
          <w:t>Public c</w:t>
        </w:r>
        <w:r w:rsidR="00720E57" w:rsidRPr="002B58C9">
          <w:rPr>
            <w:rFonts w:ascii="Arial" w:hAnsi="Arial" w:cs="Arial"/>
            <w:sz w:val="18"/>
          </w:rPr>
          <w:t xml:space="preserve">onsultation </w:t>
        </w:r>
        <w:r w:rsidR="00720E57" w:rsidRPr="002B58C9">
          <w:rPr>
            <w:rFonts w:ascii="Arial" w:hAnsi="Arial" w:cs="Arial"/>
            <w:sz w:val="18"/>
          </w:rPr>
          <w:tab/>
        </w:r>
        <w:r w:rsidR="002B58C9">
          <w:rPr>
            <w:rFonts w:ascii="Arial" w:hAnsi="Arial" w:cs="Arial"/>
            <w:sz w:val="18"/>
          </w:rPr>
          <w:t xml:space="preserve">- </w:t>
        </w:r>
        <w:r>
          <w:rPr>
            <w:rFonts w:ascii="Arial" w:hAnsi="Arial" w:cs="Arial"/>
            <w:sz w:val="18"/>
          </w:rPr>
          <w:t>Draft guidance on expiry of compounded parenteral medicines</w:t>
        </w:r>
      </w:p>
      <w:p w:rsidR="00720E57" w:rsidRDefault="00720E57"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D04C4C" w:rsidRPr="009D3653">
          <w:rPr>
            <w:rFonts w:ascii="Arial" w:hAnsi="Arial" w:cs="Arial"/>
            <w:sz w:val="18"/>
            <w:szCs w:val="18"/>
          </w:rPr>
          <w:fldChar w:fldCharType="begin"/>
        </w:r>
        <w:r w:rsidRPr="009D3653">
          <w:rPr>
            <w:rFonts w:ascii="Arial" w:hAnsi="Arial" w:cs="Arial"/>
            <w:sz w:val="18"/>
            <w:szCs w:val="18"/>
          </w:rPr>
          <w:instrText xml:space="preserve"> PAGE </w:instrText>
        </w:r>
        <w:r w:rsidR="00D04C4C" w:rsidRPr="009D3653">
          <w:rPr>
            <w:rFonts w:ascii="Arial" w:hAnsi="Arial" w:cs="Arial"/>
            <w:sz w:val="18"/>
            <w:szCs w:val="18"/>
          </w:rPr>
          <w:fldChar w:fldCharType="separate"/>
        </w:r>
        <w:r w:rsidR="00BE095D">
          <w:rPr>
            <w:rFonts w:ascii="Arial" w:hAnsi="Arial" w:cs="Arial"/>
            <w:noProof/>
            <w:sz w:val="18"/>
            <w:szCs w:val="18"/>
          </w:rPr>
          <w:t>2</w:t>
        </w:r>
        <w:r w:rsidR="00D04C4C" w:rsidRPr="009D3653">
          <w:rPr>
            <w:rFonts w:ascii="Arial" w:hAnsi="Arial" w:cs="Arial"/>
            <w:sz w:val="18"/>
            <w:szCs w:val="18"/>
          </w:rPr>
          <w:fldChar w:fldCharType="end"/>
        </w:r>
        <w:r w:rsidRPr="009D3653">
          <w:rPr>
            <w:rFonts w:ascii="Arial" w:hAnsi="Arial" w:cs="Arial"/>
            <w:sz w:val="18"/>
            <w:szCs w:val="18"/>
          </w:rPr>
          <w:t xml:space="preserve"> of </w:t>
        </w:r>
        <w:r w:rsidR="00D04C4C"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D04C4C" w:rsidRPr="009D3653">
          <w:rPr>
            <w:rFonts w:ascii="Arial" w:hAnsi="Arial" w:cs="Arial"/>
            <w:sz w:val="18"/>
            <w:szCs w:val="18"/>
          </w:rPr>
          <w:fldChar w:fldCharType="separate"/>
        </w:r>
        <w:r w:rsidR="00BE095D">
          <w:rPr>
            <w:rFonts w:ascii="Arial" w:hAnsi="Arial" w:cs="Arial"/>
            <w:noProof/>
            <w:sz w:val="18"/>
            <w:szCs w:val="18"/>
          </w:rPr>
          <w:t>3</w:t>
        </w:r>
        <w:r w:rsidR="00D04C4C" w:rsidRPr="009D3653">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57" w:rsidRPr="00E5769B" w:rsidRDefault="00720E57" w:rsidP="00192714">
    <w:pPr>
      <w:pStyle w:val="AHPRAfirstpagefooter"/>
      <w:rPr>
        <w:szCs w:val="18"/>
      </w:rPr>
    </w:pPr>
    <w:r w:rsidRPr="00E5769B">
      <w:rPr>
        <w:color w:val="007DC3"/>
        <w:szCs w:val="18"/>
      </w:rPr>
      <w:t>Pharmacy</w:t>
    </w:r>
    <w:r w:rsidRPr="00E5769B">
      <w:rPr>
        <w:szCs w:val="18"/>
      </w:rPr>
      <w:t xml:space="preserve"> Board of Australia</w:t>
    </w:r>
  </w:p>
  <w:p w:rsidR="00720E57" w:rsidRPr="00192714" w:rsidRDefault="00720E57" w:rsidP="00192714">
    <w:pPr>
      <w:pStyle w:val="AHPRAfooter"/>
      <w:jc w:val="center"/>
      <w:rPr>
        <w:rFonts w:ascii="Arial" w:hAnsi="Arial" w:cs="Arial"/>
        <w:sz w:val="18"/>
        <w:szCs w:val="18"/>
      </w:rPr>
    </w:pPr>
    <w:r w:rsidRPr="00E5769B">
      <w:rPr>
        <w:rFonts w:ascii="Arial" w:hAnsi="Arial" w:cs="Arial"/>
        <w:sz w:val="18"/>
        <w:szCs w:val="18"/>
      </w:rPr>
      <w:t xml:space="preserve">G.P.O. Box 9958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720E57" w:rsidRPr="00E07D13" w:rsidRDefault="00720E57"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57" w:rsidRDefault="00720E57" w:rsidP="00A43430">
      <w:pPr>
        <w:spacing w:after="0" w:line="240" w:lineRule="auto"/>
      </w:pPr>
      <w:r>
        <w:separator/>
      </w:r>
    </w:p>
  </w:footnote>
  <w:footnote w:type="continuationSeparator" w:id="0">
    <w:p w:rsidR="00720E57" w:rsidRDefault="00720E57" w:rsidP="00A43430">
      <w:pPr>
        <w:spacing w:after="0" w:line="240" w:lineRule="auto"/>
      </w:pPr>
      <w:r>
        <w:continuationSeparator/>
      </w:r>
    </w:p>
  </w:footnote>
  <w:footnote w:id="1">
    <w:p w:rsidR="00720E57" w:rsidRDefault="00720E57"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57" w:rsidRPr="00B12E0A" w:rsidRDefault="00720E57" w:rsidP="00E5769B">
    <w:pPr>
      <w:pStyle w:val="Header"/>
      <w:jc w:val="right"/>
      <w:rPr>
        <w:rFonts w:ascii="Arial" w:hAnsi="Arial" w:cs="Arial"/>
        <w:sz w:val="20"/>
        <w:szCs w:val="20"/>
      </w:rPr>
    </w:pPr>
    <w:r w:rsidRPr="00E5769B">
      <w:rPr>
        <w:rFonts w:ascii="Arial" w:hAnsi="Arial" w:cs="Arial"/>
        <w:noProof/>
        <w:sz w:val="20"/>
        <w:szCs w:val="20"/>
        <w:lang w:eastAsia="en-AU"/>
      </w:rPr>
      <w:drawing>
        <wp:inline distT="0" distB="0" distL="0" distR="0">
          <wp:extent cx="1368152" cy="1368152"/>
          <wp:effectExtent l="19050" t="0" r="3448" b="0"/>
          <wp:docPr id="4" name="Picture 4" descr="AHPRA_PharmacyBoardofAustralia"/>
          <wp:cNvGraphicFramePr/>
          <a:graphic xmlns:a="http://schemas.openxmlformats.org/drawingml/2006/main">
            <a:graphicData uri="http://schemas.openxmlformats.org/drawingml/2006/picture">
              <pic:pic xmlns:pic="http://schemas.openxmlformats.org/drawingml/2006/picture">
                <pic:nvPicPr>
                  <pic:cNvPr id="1032" name="Picture 8" descr="AHPRA_Pharmac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B3DA3"/>
    <w:multiLevelType w:val="hybridMultilevel"/>
    <w:tmpl w:val="C2DE67F6"/>
    <w:lvl w:ilvl="0" w:tplc="04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C4671"/>
    <w:multiLevelType w:val="hybridMultilevel"/>
    <w:tmpl w:val="92B83294"/>
    <w:lvl w:ilvl="0" w:tplc="91F4BB4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530AC"/>
    <w:multiLevelType w:val="hybridMultilevel"/>
    <w:tmpl w:val="EA50A5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2"/>
  </w:num>
  <w:num w:numId="5">
    <w:abstractNumId w:val="6"/>
  </w:num>
  <w:num w:numId="6">
    <w:abstractNumId w:val="1"/>
  </w:num>
  <w:num w:numId="7">
    <w:abstractNumId w:val="10"/>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59E"/>
    <w:rsid w:val="00003F0A"/>
    <w:rsid w:val="0002306A"/>
    <w:rsid w:val="000255FE"/>
    <w:rsid w:val="000506EA"/>
    <w:rsid w:val="000A04E2"/>
    <w:rsid w:val="000C51C7"/>
    <w:rsid w:val="000D22C5"/>
    <w:rsid w:val="000D72F6"/>
    <w:rsid w:val="000F32CC"/>
    <w:rsid w:val="001037F1"/>
    <w:rsid w:val="001146E1"/>
    <w:rsid w:val="0011488A"/>
    <w:rsid w:val="00122E5E"/>
    <w:rsid w:val="0013396B"/>
    <w:rsid w:val="00192714"/>
    <w:rsid w:val="001A6FF0"/>
    <w:rsid w:val="001B59D4"/>
    <w:rsid w:val="001D5537"/>
    <w:rsid w:val="001F419C"/>
    <w:rsid w:val="001F49A0"/>
    <w:rsid w:val="001F63F8"/>
    <w:rsid w:val="001F7A6B"/>
    <w:rsid w:val="00204E84"/>
    <w:rsid w:val="00232339"/>
    <w:rsid w:val="00235B87"/>
    <w:rsid w:val="0023733D"/>
    <w:rsid w:val="00265ED5"/>
    <w:rsid w:val="002A5A59"/>
    <w:rsid w:val="002B58C9"/>
    <w:rsid w:val="002C138A"/>
    <w:rsid w:val="002D6FEB"/>
    <w:rsid w:val="00312D1D"/>
    <w:rsid w:val="00325589"/>
    <w:rsid w:val="00333CB2"/>
    <w:rsid w:val="00345EB3"/>
    <w:rsid w:val="003535C0"/>
    <w:rsid w:val="00362447"/>
    <w:rsid w:val="00371AE4"/>
    <w:rsid w:val="00374C1F"/>
    <w:rsid w:val="00395CC6"/>
    <w:rsid w:val="003A3EFB"/>
    <w:rsid w:val="003A5FFE"/>
    <w:rsid w:val="003E151C"/>
    <w:rsid w:val="003F3C94"/>
    <w:rsid w:val="00411FB6"/>
    <w:rsid w:val="0041414F"/>
    <w:rsid w:val="00432B52"/>
    <w:rsid w:val="00461180"/>
    <w:rsid w:val="00487166"/>
    <w:rsid w:val="004C3812"/>
    <w:rsid w:val="004E13C1"/>
    <w:rsid w:val="004E69DB"/>
    <w:rsid w:val="004F6E85"/>
    <w:rsid w:val="00515FBC"/>
    <w:rsid w:val="00547923"/>
    <w:rsid w:val="00566FD1"/>
    <w:rsid w:val="005804F4"/>
    <w:rsid w:val="0058421F"/>
    <w:rsid w:val="005A75F0"/>
    <w:rsid w:val="005B11D8"/>
    <w:rsid w:val="005D6C58"/>
    <w:rsid w:val="005E405C"/>
    <w:rsid w:val="006266AB"/>
    <w:rsid w:val="00651633"/>
    <w:rsid w:val="0069209F"/>
    <w:rsid w:val="006E2D73"/>
    <w:rsid w:val="006E7EB2"/>
    <w:rsid w:val="006F021B"/>
    <w:rsid w:val="00700478"/>
    <w:rsid w:val="0070387E"/>
    <w:rsid w:val="007060F7"/>
    <w:rsid w:val="0071260D"/>
    <w:rsid w:val="00720E57"/>
    <w:rsid w:val="0072456E"/>
    <w:rsid w:val="00742725"/>
    <w:rsid w:val="00755A0F"/>
    <w:rsid w:val="00756610"/>
    <w:rsid w:val="00780CE7"/>
    <w:rsid w:val="0078580E"/>
    <w:rsid w:val="007A2F31"/>
    <w:rsid w:val="007D237D"/>
    <w:rsid w:val="007D5E6C"/>
    <w:rsid w:val="00814488"/>
    <w:rsid w:val="00821E14"/>
    <w:rsid w:val="00824172"/>
    <w:rsid w:val="008338F1"/>
    <w:rsid w:val="0083417E"/>
    <w:rsid w:val="008754B8"/>
    <w:rsid w:val="009062D9"/>
    <w:rsid w:val="0093789E"/>
    <w:rsid w:val="00955659"/>
    <w:rsid w:val="009C53C9"/>
    <w:rsid w:val="009F1223"/>
    <w:rsid w:val="009F6555"/>
    <w:rsid w:val="00A10930"/>
    <w:rsid w:val="00A43430"/>
    <w:rsid w:val="00A62498"/>
    <w:rsid w:val="00A95B18"/>
    <w:rsid w:val="00AD021B"/>
    <w:rsid w:val="00B12E0A"/>
    <w:rsid w:val="00B43FBE"/>
    <w:rsid w:val="00B477E7"/>
    <w:rsid w:val="00B62F99"/>
    <w:rsid w:val="00B950B5"/>
    <w:rsid w:val="00BA7F4C"/>
    <w:rsid w:val="00BB69CC"/>
    <w:rsid w:val="00BC1A95"/>
    <w:rsid w:val="00BD623A"/>
    <w:rsid w:val="00BE095D"/>
    <w:rsid w:val="00BE2250"/>
    <w:rsid w:val="00C05619"/>
    <w:rsid w:val="00C32BAE"/>
    <w:rsid w:val="00C3659E"/>
    <w:rsid w:val="00C86132"/>
    <w:rsid w:val="00C96543"/>
    <w:rsid w:val="00CD37E6"/>
    <w:rsid w:val="00CF78AF"/>
    <w:rsid w:val="00D04C4C"/>
    <w:rsid w:val="00D3072C"/>
    <w:rsid w:val="00D439F0"/>
    <w:rsid w:val="00D500CB"/>
    <w:rsid w:val="00D666E3"/>
    <w:rsid w:val="00D8397E"/>
    <w:rsid w:val="00D91023"/>
    <w:rsid w:val="00DB403D"/>
    <w:rsid w:val="00DB5474"/>
    <w:rsid w:val="00DC53CF"/>
    <w:rsid w:val="00DD1CFE"/>
    <w:rsid w:val="00DF4AF6"/>
    <w:rsid w:val="00E07D13"/>
    <w:rsid w:val="00E2141B"/>
    <w:rsid w:val="00E25FA7"/>
    <w:rsid w:val="00E56830"/>
    <w:rsid w:val="00E5769B"/>
    <w:rsid w:val="00E7034E"/>
    <w:rsid w:val="00EA003C"/>
    <w:rsid w:val="00EB35D2"/>
    <w:rsid w:val="00EC766F"/>
    <w:rsid w:val="00F0552E"/>
    <w:rsid w:val="00F1330C"/>
    <w:rsid w:val="00F30010"/>
    <w:rsid w:val="00F410FD"/>
    <w:rsid w:val="00F47F45"/>
    <w:rsid w:val="00F56B4A"/>
    <w:rsid w:val="00F6154A"/>
    <w:rsid w:val="00F65455"/>
    <w:rsid w:val="00F93F8C"/>
    <w:rsid w:val="00FA44C0"/>
    <w:rsid w:val="00FF17B3"/>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3"/>
      </o:rules>
    </o:shapelayout>
  </w:shapeDefaults>
  <w:decimalSymbol w:val="."/>
  <w:listSeparator w:val=","/>
  <w15:docId w15:val="{67B4025C-4775-4369-9723-C2756170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rsid w:val="00192714"/>
    <w:rPr>
      <w:rFonts w:ascii="Calibri" w:eastAsia="Times New Roman" w:hAnsi="Calibri" w:cs="Times New Roman"/>
      <w:lang w:val="en-AU"/>
    </w:rPr>
  </w:style>
  <w:style w:type="character" w:styleId="Hyperlink">
    <w:name w:val="Hyperlink"/>
    <w:uiPriority w:val="99"/>
    <w:unhideWhenUsed/>
    <w:rsid w:val="00E2141B"/>
    <w:rPr>
      <w:color w:val="0000FF"/>
      <w:u w:val="single"/>
    </w:rPr>
  </w:style>
  <w:style w:type="character" w:customStyle="1" w:styleId="AHPRAbodyChar">
    <w:name w:val="AHPRA body Char"/>
    <w:basedOn w:val="DefaultParagraphFont"/>
    <w:link w:val="AHPRAbody"/>
    <w:locked/>
    <w:rsid w:val="00E2141B"/>
    <w:rPr>
      <w:rFonts w:ascii="Cambria" w:eastAsia="Cambria" w:hAnsi="Cambria"/>
      <w:szCs w:val="24"/>
      <w:lang w:val="en-AU"/>
    </w:rPr>
  </w:style>
  <w:style w:type="paragraph" w:customStyle="1" w:styleId="AHPRAbody">
    <w:name w:val="AHPRA body"/>
    <w:basedOn w:val="Normal"/>
    <w:link w:val="AHPRAbodyChar"/>
    <w:qFormat/>
    <w:rsid w:val="00E2141B"/>
    <w:pPr>
      <w:spacing w:line="240" w:lineRule="auto"/>
    </w:pPr>
    <w:rPr>
      <w:rFonts w:ascii="Cambria" w:eastAsia="Cambria" w:hAnsi="Cambria" w:cs="Arial"/>
      <w:sz w:val="20"/>
      <w:szCs w:val="24"/>
    </w:rPr>
  </w:style>
  <w:style w:type="character" w:styleId="FollowedHyperlink">
    <w:name w:val="FollowedHyperlink"/>
    <w:basedOn w:val="DefaultParagraphFont"/>
    <w:uiPriority w:val="99"/>
    <w:semiHidden/>
    <w:unhideWhenUsed/>
    <w:rsid w:val="00E56830"/>
    <w:rPr>
      <w:color w:val="800080" w:themeColor="followedHyperlink"/>
      <w:u w:val="single"/>
    </w:rPr>
  </w:style>
  <w:style w:type="character" w:styleId="FootnoteReference">
    <w:name w:val="footnote reference"/>
    <w:basedOn w:val="DefaultParagraphFont"/>
    <w:uiPriority w:val="99"/>
    <w:rsid w:val="0051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09310">
      <w:bodyDiv w:val="1"/>
      <w:marLeft w:val="0"/>
      <w:marRight w:val="0"/>
      <w:marTop w:val="0"/>
      <w:marBottom w:val="0"/>
      <w:divBdr>
        <w:top w:val="none" w:sz="0" w:space="0" w:color="auto"/>
        <w:left w:val="none" w:sz="0" w:space="0" w:color="auto"/>
        <w:bottom w:val="none" w:sz="0" w:space="0" w:color="auto"/>
        <w:right w:val="none" w:sz="0" w:space="0" w:color="auto"/>
      </w:divBdr>
    </w:div>
    <w:div w:id="683551020">
      <w:bodyDiv w:val="1"/>
      <w:marLeft w:val="0"/>
      <w:marRight w:val="0"/>
      <w:marTop w:val="0"/>
      <w:marBottom w:val="0"/>
      <w:divBdr>
        <w:top w:val="none" w:sz="0" w:space="0" w:color="auto"/>
        <w:left w:val="none" w:sz="0" w:space="0" w:color="auto"/>
        <w:bottom w:val="none" w:sz="0" w:space="0" w:color="auto"/>
        <w:right w:val="none" w:sz="0" w:space="0" w:color="auto"/>
      </w:divBdr>
    </w:div>
    <w:div w:id="690299699">
      <w:bodyDiv w:val="1"/>
      <w:marLeft w:val="0"/>
      <w:marRight w:val="0"/>
      <w:marTop w:val="0"/>
      <w:marBottom w:val="0"/>
      <w:divBdr>
        <w:top w:val="none" w:sz="0" w:space="0" w:color="auto"/>
        <w:left w:val="none" w:sz="0" w:space="0" w:color="auto"/>
        <w:bottom w:val="none" w:sz="0" w:space="0" w:color="auto"/>
        <w:right w:val="none" w:sz="0" w:space="0" w:color="auto"/>
      </w:divBdr>
    </w:div>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 w:id="1605727348">
      <w:bodyDiv w:val="1"/>
      <w:marLeft w:val="0"/>
      <w:marRight w:val="0"/>
      <w:marTop w:val="0"/>
      <w:marBottom w:val="0"/>
      <w:divBdr>
        <w:top w:val="none" w:sz="0" w:space="0" w:color="auto"/>
        <w:left w:val="none" w:sz="0" w:space="0" w:color="auto"/>
        <w:bottom w:val="none" w:sz="0" w:space="0" w:color="auto"/>
        <w:right w:val="none" w:sz="0" w:space="0" w:color="auto"/>
      </w:divBdr>
    </w:div>
    <w:div w:id="20925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armacyconsultation@ahpra.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58A1-C947-4B2E-829B-7C8ED6C8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Template</dc:subject>
  <dc:creator>Pharmacy Board</dc:creator>
  <cp:keywords>Guidelines on compounding of medicines</cp:keywords>
  <cp:lastModifiedBy>Tara Johnson</cp:lastModifiedBy>
  <cp:revision>2</cp:revision>
  <cp:lastPrinted>2013-09-17T06:32:00Z</cp:lastPrinted>
  <dcterms:created xsi:type="dcterms:W3CDTF">2016-02-01T03:27:00Z</dcterms:created>
  <dcterms:modified xsi:type="dcterms:W3CDTF">2016-02-01T03:27:00Z</dcterms:modified>
</cp:coreProperties>
</file>