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C1" w:rsidRPr="001B3F78" w:rsidRDefault="00755DC1" w:rsidP="00755DC1">
      <w:pPr>
        <w:pStyle w:val="AHPRATitle"/>
        <w:rPr>
          <w:b/>
          <w:noProof/>
          <w:sz w:val="28"/>
          <w:szCs w:val="28"/>
        </w:rPr>
      </w:pPr>
      <w:r w:rsidRPr="001B3F78">
        <w:rPr>
          <w:b/>
          <w:sz w:val="28"/>
          <w:szCs w:val="28"/>
        </w:rPr>
        <w:t>Communiqué</w:t>
      </w:r>
    </w:p>
    <w:p w:rsidR="00755DC1" w:rsidRDefault="006C4097" w:rsidP="00026ADD">
      <w:pPr>
        <w:spacing w:after="200"/>
        <w:rPr>
          <w:b/>
          <w:sz w:val="20"/>
          <w:szCs w:val="20"/>
          <w:lang w:val="en-US"/>
        </w:rPr>
      </w:pPr>
      <w:r>
        <w:rPr>
          <w:b/>
          <w:sz w:val="20"/>
          <w:szCs w:val="20"/>
          <w:lang w:val="en-US"/>
        </w:rPr>
        <w:t>2 September</w:t>
      </w:r>
      <w:r w:rsidR="009614EE">
        <w:rPr>
          <w:b/>
          <w:sz w:val="20"/>
          <w:szCs w:val="20"/>
          <w:lang w:val="en-US"/>
        </w:rPr>
        <w:t xml:space="preserve"> </w:t>
      </w:r>
      <w:r w:rsidR="00C96C59">
        <w:rPr>
          <w:b/>
          <w:sz w:val="20"/>
          <w:szCs w:val="20"/>
          <w:lang w:val="en-US"/>
        </w:rPr>
        <w:t>2016</w:t>
      </w:r>
    </w:p>
    <w:p w:rsidR="00FB64D5" w:rsidRPr="00EF7BF6" w:rsidRDefault="00FB64D5" w:rsidP="00026ADD">
      <w:pPr>
        <w:pStyle w:val="AHPRASubhead"/>
        <w:rPr>
          <w:b w:val="0"/>
          <w:color w:val="000000"/>
        </w:rPr>
      </w:pPr>
      <w:r w:rsidRPr="00EF7BF6">
        <w:rPr>
          <w:b w:val="0"/>
          <w:color w:val="000000"/>
        </w:rPr>
        <w:t>The Pharmacy Board of Australia (the Board) meets each month to consider and decide on any matters related to its regulatory function</w:t>
      </w:r>
      <w:r w:rsidR="005632A0" w:rsidRPr="00EF7BF6">
        <w:rPr>
          <w:b w:val="0"/>
          <w:color w:val="000000"/>
        </w:rPr>
        <w:t xml:space="preserve"> under the National Law</w:t>
      </w:r>
      <w:r w:rsidR="005632A0" w:rsidRPr="00EF7BF6">
        <w:rPr>
          <w:rStyle w:val="FootnoteReference"/>
          <w:b w:val="0"/>
        </w:rPr>
        <w:footnoteReference w:id="2"/>
      </w:r>
      <w:r w:rsidR="005632A0" w:rsidRPr="00EF7BF6">
        <w:rPr>
          <w:b w:val="0"/>
          <w:color w:val="000000"/>
        </w:rPr>
        <w:t xml:space="preserve"> and </w:t>
      </w:r>
      <w:r w:rsidRPr="00EF7BF6">
        <w:rPr>
          <w:b w:val="0"/>
          <w:color w:val="000000"/>
        </w:rPr>
        <w:t xml:space="preserve">within the National Registration and Accreditation Scheme (the National Scheme). </w:t>
      </w:r>
    </w:p>
    <w:p w:rsidR="006C4097" w:rsidRPr="006C4097" w:rsidRDefault="00FB64D5" w:rsidP="006C4097">
      <w:pPr>
        <w:pStyle w:val="AHPRASubhead"/>
        <w:rPr>
          <w:b w:val="0"/>
          <w:color w:val="000000"/>
        </w:rPr>
      </w:pPr>
      <w:r w:rsidRPr="006C4097">
        <w:rPr>
          <w:b w:val="0"/>
          <w:color w:val="000000"/>
        </w:rPr>
        <w:t>This communiqué aims to inform stakeholders of th</w:t>
      </w:r>
      <w:r w:rsidR="00686305" w:rsidRPr="006C4097">
        <w:rPr>
          <w:b w:val="0"/>
          <w:color w:val="000000"/>
        </w:rPr>
        <w:t xml:space="preserve">e work of the Board and matters </w:t>
      </w:r>
      <w:r w:rsidRPr="006C4097">
        <w:rPr>
          <w:b w:val="0"/>
          <w:color w:val="000000"/>
        </w:rPr>
        <w:t>regarding the National Scheme. Please forward it on to colleagues and employees who may be interested in its content.</w:t>
      </w:r>
      <w:bookmarkStart w:id="0" w:name="_GoBack"/>
      <w:bookmarkEnd w:id="0"/>
    </w:p>
    <w:p w:rsidR="002800A3" w:rsidRPr="002F5796" w:rsidRDefault="009614EE" w:rsidP="002F5796">
      <w:pPr>
        <w:pStyle w:val="Default"/>
        <w:spacing w:after="200"/>
        <w:rPr>
          <w:b/>
          <w:bCs/>
          <w:color w:val="008EC4"/>
          <w:sz w:val="20"/>
          <w:szCs w:val="20"/>
        </w:rPr>
      </w:pPr>
      <w:r>
        <w:rPr>
          <w:b/>
          <w:bCs/>
          <w:color w:val="008EC4"/>
          <w:sz w:val="20"/>
          <w:szCs w:val="20"/>
        </w:rPr>
        <w:t>August</w:t>
      </w:r>
      <w:r w:rsidR="002800A3" w:rsidRPr="002F5796">
        <w:rPr>
          <w:b/>
          <w:bCs/>
          <w:color w:val="008EC4"/>
          <w:sz w:val="20"/>
          <w:szCs w:val="20"/>
        </w:rPr>
        <w:t xml:space="preserve"> Board meeting</w:t>
      </w:r>
    </w:p>
    <w:p w:rsidR="00841F7C" w:rsidRDefault="00FA1045" w:rsidP="00026ADD">
      <w:pPr>
        <w:pStyle w:val="AHPRAbody"/>
      </w:pPr>
      <w:r>
        <w:t xml:space="preserve">During its meeting on </w:t>
      </w:r>
      <w:r w:rsidR="009614EE">
        <w:t>26</w:t>
      </w:r>
      <w:r w:rsidR="002F5796">
        <w:t xml:space="preserve"> </w:t>
      </w:r>
      <w:r w:rsidR="009614EE">
        <w:t xml:space="preserve">August </w:t>
      </w:r>
      <w:r w:rsidR="00841F7C">
        <w:t xml:space="preserve">2016, the Board received </w:t>
      </w:r>
      <w:r w:rsidR="00841F7C" w:rsidRPr="002800A3">
        <w:t xml:space="preserve">reports from and progressed matters raised through </w:t>
      </w:r>
      <w:r w:rsidR="00841F7C">
        <w:t xml:space="preserve">its committees. </w:t>
      </w:r>
      <w:r w:rsidR="00841F7C" w:rsidRPr="00026ADD">
        <w:t xml:space="preserve">It also addressed a number of </w:t>
      </w:r>
      <w:r w:rsidR="00FC7BD7" w:rsidRPr="00FC7BD7">
        <w:t>Australian Health Practitioner Regulation Agency</w:t>
      </w:r>
      <w:r w:rsidR="00FC7BD7">
        <w:t xml:space="preserve"> (</w:t>
      </w:r>
      <w:r w:rsidR="00841F7C" w:rsidRPr="00026ADD">
        <w:t>AHPRA</w:t>
      </w:r>
      <w:r w:rsidR="00FC7BD7">
        <w:t>)</w:t>
      </w:r>
      <w:r w:rsidR="00841F7C" w:rsidRPr="00026ADD">
        <w:t xml:space="preserve"> and National Scheme-related matters</w:t>
      </w:r>
      <w:r w:rsidR="002F5796">
        <w:t>.</w:t>
      </w:r>
    </w:p>
    <w:p w:rsidR="00FD0E8B" w:rsidRDefault="00FD0E8B" w:rsidP="006C4097">
      <w:pPr>
        <w:pStyle w:val="AHPRAbody"/>
        <w:rPr>
          <w:szCs w:val="20"/>
        </w:rPr>
      </w:pPr>
      <w:r>
        <w:rPr>
          <w:szCs w:val="20"/>
        </w:rPr>
        <w:t>The Board meeting was held to coincide with the annual National Registration and Accreditation Scheme combined meeting where entities within the scheme got together to discuss the focus for the next 12 months.</w:t>
      </w:r>
    </w:p>
    <w:p w:rsidR="00FD0E8B" w:rsidRPr="00E10B28" w:rsidRDefault="00FD0E8B" w:rsidP="006C4097">
      <w:pPr>
        <w:pStyle w:val="Default"/>
        <w:spacing w:after="200"/>
        <w:rPr>
          <w:b/>
          <w:bCs/>
          <w:color w:val="008EC4"/>
          <w:sz w:val="20"/>
          <w:szCs w:val="20"/>
        </w:rPr>
      </w:pPr>
      <w:r w:rsidRPr="00E10B28">
        <w:rPr>
          <w:b/>
          <w:bCs/>
          <w:color w:val="008EC4"/>
          <w:sz w:val="20"/>
          <w:szCs w:val="20"/>
        </w:rPr>
        <w:t>National Boards and AHPRA host research summit</w:t>
      </w:r>
    </w:p>
    <w:p w:rsidR="00FD0E8B" w:rsidRPr="006C4097" w:rsidRDefault="00FD0E8B" w:rsidP="006C4097">
      <w:pPr>
        <w:pStyle w:val="AHPRAbody"/>
      </w:pPr>
      <w:r w:rsidRPr="006C4097">
        <w:t>The 2016 Research Summit hosted by the 14 National Boards and AHPRA was attended by more than 220 delegates who gathered together to talk about the next frontier for developing our partnership’s evidence-base to improve the way we regulate.</w:t>
      </w:r>
    </w:p>
    <w:p w:rsidR="00FD0E8B" w:rsidRPr="006C4097" w:rsidRDefault="00FD0E8B" w:rsidP="006C4097">
      <w:pPr>
        <w:pStyle w:val="AHPRAbody"/>
      </w:pPr>
      <w:r w:rsidRPr="006C4097">
        <w:t>The theme of the summit was ‘patient safety through risk-based regulation’, and presenters discussed a range of topics. At the heart of the discussion was how to contribute to safer care for patients and health consumers. Also discussed was how data collection and evaluation can help find new and innovative ways to improve regulatory processes for health practitioners and the public.</w:t>
      </w:r>
    </w:p>
    <w:p w:rsidR="00FD0E8B" w:rsidRPr="006C4097" w:rsidRDefault="00FD0E8B" w:rsidP="006C4097">
      <w:pPr>
        <w:pStyle w:val="AHPRAbody"/>
      </w:pPr>
      <w:r w:rsidRPr="006C4097">
        <w:t>The inaugural summit provided an opportunity for the exchange of expertise and ideas between regulatory staff, experts in safety and quality in healthcare, health practitioners and leading health and medical researchers.</w:t>
      </w:r>
    </w:p>
    <w:p w:rsidR="00FD0E8B" w:rsidRDefault="00FD0E8B" w:rsidP="006C4097">
      <w:pPr>
        <w:pStyle w:val="AHPRAbody"/>
        <w:rPr>
          <w:szCs w:val="20"/>
        </w:rPr>
      </w:pPr>
      <w:r w:rsidRPr="006C4097">
        <w:t>Read</w:t>
      </w:r>
      <w:r w:rsidRPr="00E10B28">
        <w:rPr>
          <w:szCs w:val="20"/>
        </w:rPr>
        <w:t xml:space="preserve"> more in the </w:t>
      </w:r>
      <w:hyperlink r:id="rId8" w:history="1">
        <w:r w:rsidRPr="00E10B28">
          <w:rPr>
            <w:rStyle w:val="Hyperlink"/>
            <w:rFonts w:eastAsiaTheme="majorEastAsia"/>
            <w:szCs w:val="20"/>
          </w:rPr>
          <w:t>media release</w:t>
        </w:r>
      </w:hyperlink>
      <w:r w:rsidRPr="00E10B28">
        <w:rPr>
          <w:szCs w:val="20"/>
        </w:rPr>
        <w:t xml:space="preserve"> about the summit which was held on 25 August.</w:t>
      </w:r>
    </w:p>
    <w:p w:rsidR="00FE2DF2" w:rsidRPr="00FE2DF2" w:rsidRDefault="00FE2DF2" w:rsidP="00FE2DF2">
      <w:pPr>
        <w:pStyle w:val="Default"/>
        <w:spacing w:after="200"/>
        <w:rPr>
          <w:b/>
          <w:bCs/>
          <w:color w:val="008EC4"/>
          <w:sz w:val="20"/>
          <w:szCs w:val="20"/>
        </w:rPr>
      </w:pPr>
      <w:r w:rsidRPr="00FE2DF2">
        <w:rPr>
          <w:b/>
          <w:bCs/>
          <w:color w:val="008EC4"/>
          <w:sz w:val="20"/>
          <w:szCs w:val="20"/>
        </w:rPr>
        <w:t>Review of guidance on the expiry of compounded parenteral medicines</w:t>
      </w:r>
    </w:p>
    <w:p w:rsidR="00FE2DF2" w:rsidRDefault="00FE2DF2" w:rsidP="00FE2DF2">
      <w:pPr>
        <w:pStyle w:val="AHPRAbody"/>
      </w:pPr>
      <w:r>
        <w:t xml:space="preserve">The Board is currently having further discussion with the Therapeutic Goods Administration (TGA) about draft revisions to the currently postponed section </w:t>
      </w:r>
      <w:r w:rsidRPr="00DB4511">
        <w:rPr>
          <w:i/>
        </w:rPr>
        <w:t>Expiry of compounded parenteral medicines</w:t>
      </w:r>
      <w:r>
        <w:t xml:space="preserve"> of the Board’s </w:t>
      </w:r>
      <w:r w:rsidRPr="00DB4511">
        <w:rPr>
          <w:i/>
        </w:rPr>
        <w:t>Guidelines on compounding of medicines</w:t>
      </w:r>
      <w:r>
        <w:t xml:space="preserve"> (compounding guidelines). Feedback received through the February-March 2016 public consultation has enabled the Board to identify several outstanding issues requiring further discussion with the TGA, after which submissions will be published on the Board’s website unless an individual or organisation has requested otherwise.</w:t>
      </w:r>
    </w:p>
    <w:p w:rsidR="00FE2DF2" w:rsidRDefault="00FE2DF2" w:rsidP="00FE2DF2">
      <w:pPr>
        <w:pStyle w:val="AHPRAbody"/>
      </w:pPr>
      <w:r>
        <w:lastRenderedPageBreak/>
        <w:t>Further updates will be provided by the Board when available, including when revised guidance will be finalised and take effect. The Board also reminds pharmacists of their obligation to comply with relevant legislation, practice standards and guidelines</w:t>
      </w:r>
      <w:r w:rsidR="00702EE6">
        <w:t>,</w:t>
      </w:r>
      <w:r>
        <w:t xml:space="preserve"> including the published compounding guidelines, when compounding medicines.</w:t>
      </w:r>
    </w:p>
    <w:p w:rsidR="00FE2DF2" w:rsidRPr="00FE2DF2" w:rsidRDefault="00FE2DF2" w:rsidP="00FE2DF2">
      <w:pPr>
        <w:pStyle w:val="Default"/>
        <w:spacing w:after="200"/>
        <w:rPr>
          <w:b/>
          <w:bCs/>
          <w:color w:val="008EC4"/>
          <w:sz w:val="20"/>
          <w:szCs w:val="20"/>
        </w:rPr>
      </w:pPr>
      <w:r w:rsidRPr="00FE2DF2">
        <w:rPr>
          <w:b/>
          <w:bCs/>
          <w:color w:val="008EC4"/>
          <w:sz w:val="20"/>
          <w:szCs w:val="20"/>
        </w:rPr>
        <w:t>Board webinar: The continuing professional development (CPD) journey</w:t>
      </w:r>
    </w:p>
    <w:p w:rsidR="00FE2DF2" w:rsidRDefault="00DB4511" w:rsidP="00FE2DF2">
      <w:pPr>
        <w:pStyle w:val="AHPRAbody"/>
      </w:pPr>
      <w:r>
        <w:t xml:space="preserve">The Board received a positive response to its invitation to register for its webinar on </w:t>
      </w:r>
      <w:r w:rsidR="00FE2DF2">
        <w:t>continuing professional development (CPD) to be held on 15 September</w:t>
      </w:r>
      <w:r>
        <w:t xml:space="preserve"> 2016. </w:t>
      </w:r>
      <w:r w:rsidR="00BE2AB4">
        <w:t xml:space="preserve">A recording of the webinar will be published </w:t>
      </w:r>
      <w:r w:rsidR="00FE2DF2">
        <w:t>on the Board’s website</w:t>
      </w:r>
      <w:r w:rsidR="00FD471F">
        <w:t xml:space="preserve"> a</w:t>
      </w:r>
      <w:r w:rsidR="00702EE6">
        <w:t>bout</w:t>
      </w:r>
      <w:r w:rsidR="00FD471F">
        <w:t xml:space="preserve"> two weeks after the broadcast, </w:t>
      </w:r>
      <w:r w:rsidR="00FE2DF2">
        <w:t xml:space="preserve">along with a range of answers to frequently asked questions. </w:t>
      </w:r>
      <w:r w:rsidR="00BE2AB4">
        <w:t>Pharmacists who were unable to secure a place during the live broadcast and other interested pharmacists are encouraged to view the recording once it becomes available.</w:t>
      </w:r>
    </w:p>
    <w:p w:rsidR="00FE2DF2" w:rsidRDefault="00FE2DF2" w:rsidP="00FE2DF2">
      <w:pPr>
        <w:pStyle w:val="AHPRAbody"/>
      </w:pPr>
      <w:r>
        <w:t>This webinar will cover:</w:t>
      </w:r>
    </w:p>
    <w:p w:rsidR="00FE2DF2" w:rsidRDefault="00FE2DF2" w:rsidP="00FE2DF2">
      <w:pPr>
        <w:pStyle w:val="AHPRAbody"/>
        <w:numPr>
          <w:ilvl w:val="0"/>
          <w:numId w:val="37"/>
        </w:numPr>
        <w:spacing w:after="0"/>
      </w:pPr>
      <w:r>
        <w:t>The concept of lifelong learning - Why it is important to plan your CPD</w:t>
      </w:r>
    </w:p>
    <w:p w:rsidR="00FE2DF2" w:rsidRDefault="00FE2DF2" w:rsidP="00FE2DF2">
      <w:pPr>
        <w:pStyle w:val="AHPRAbody"/>
        <w:numPr>
          <w:ilvl w:val="0"/>
          <w:numId w:val="37"/>
        </w:numPr>
        <w:spacing w:after="0"/>
      </w:pPr>
      <w:r>
        <w:t>The CPD cycle - Plan, Do, Record, Reflect, Incorporate into Practice</w:t>
      </w:r>
    </w:p>
    <w:p w:rsidR="00FE2DF2" w:rsidRDefault="00FE2DF2" w:rsidP="00FE2DF2">
      <w:pPr>
        <w:pStyle w:val="AHPRAbody"/>
        <w:numPr>
          <w:ilvl w:val="0"/>
          <w:numId w:val="37"/>
        </w:numPr>
        <w:spacing w:after="0"/>
      </w:pPr>
      <w:r>
        <w:t>Different ways to learn</w:t>
      </w:r>
    </w:p>
    <w:p w:rsidR="00FE2DF2" w:rsidRDefault="00FE2DF2" w:rsidP="00FE2DF2">
      <w:pPr>
        <w:pStyle w:val="AHPRAbody"/>
        <w:numPr>
          <w:ilvl w:val="0"/>
          <w:numId w:val="37"/>
        </w:numPr>
        <w:spacing w:after="0"/>
      </w:pPr>
      <w:r>
        <w:t>How reflective practice can accelerate your professional development</w:t>
      </w:r>
    </w:p>
    <w:p w:rsidR="00FE2DF2" w:rsidRDefault="00FE2DF2" w:rsidP="00FE2DF2">
      <w:pPr>
        <w:pStyle w:val="AHPRAbody"/>
        <w:numPr>
          <w:ilvl w:val="0"/>
          <w:numId w:val="37"/>
        </w:numPr>
        <w:spacing w:after="0"/>
      </w:pPr>
      <w:r>
        <w:t>The Board’s new CPD requirements</w:t>
      </w:r>
    </w:p>
    <w:p w:rsidR="00FE2DF2" w:rsidRDefault="00FE2DF2" w:rsidP="00FE2DF2">
      <w:pPr>
        <w:pStyle w:val="AHPRAbody"/>
        <w:numPr>
          <w:ilvl w:val="0"/>
          <w:numId w:val="37"/>
        </w:numPr>
      </w:pPr>
      <w:r>
        <w:t>Available CPD resources and tools</w:t>
      </w:r>
      <w:r w:rsidR="00702EE6">
        <w:t>.</w:t>
      </w:r>
    </w:p>
    <w:p w:rsidR="00FE2DF2" w:rsidRDefault="00D51E48" w:rsidP="00FE2DF2">
      <w:pPr>
        <w:pStyle w:val="AHPRAbody"/>
      </w:pPr>
      <w:r>
        <w:t>The Board is also aware of several other education activities and other support tools offered by the pharmacy professional associations which may assist pharmacists in meeting the Board’s CPD requirements.</w:t>
      </w:r>
    </w:p>
    <w:p w:rsidR="00BE2AB4" w:rsidRPr="00F321C2" w:rsidRDefault="00BE2AB4" w:rsidP="00BE2AB4">
      <w:pPr>
        <w:pStyle w:val="AHPRAbody"/>
      </w:pPr>
      <w:r>
        <w:t>The annual CPD recording period concludes on 30 September 2016</w:t>
      </w:r>
      <w:r w:rsidR="00702EE6">
        <w:t>.</w:t>
      </w:r>
      <w:r w:rsidR="006C4097">
        <w:t xml:space="preserve"> </w:t>
      </w:r>
      <w:r w:rsidR="00702EE6">
        <w:t>P</w:t>
      </w:r>
      <w:r>
        <w:t>harmacists must meet the annual CPD requirements by th</w:t>
      </w:r>
      <w:r w:rsidR="00702EE6">
        <w:t xml:space="preserve">is date </w:t>
      </w:r>
      <w:r>
        <w:t xml:space="preserve">to make a declaration of compliance with the </w:t>
      </w:r>
      <w:r>
        <w:rPr>
          <w:i/>
        </w:rPr>
        <w:t>Registration standard: Continuing professional development</w:t>
      </w:r>
      <w:r>
        <w:t xml:space="preserve"> at renewal of registration which is due by 30 November 2016.</w:t>
      </w:r>
      <w:r w:rsidR="00F321C2">
        <w:t xml:space="preserve"> Pharmacists </w:t>
      </w:r>
      <w:r w:rsidR="00F321C2" w:rsidRPr="00F321C2">
        <w:rPr>
          <w:bCs/>
          <w:lang w:val="en-AU"/>
        </w:rPr>
        <w:t>are required to plan and complete CPD activities relevant to their scope of practice that have an aggregate value of 40 or more CPD credits for the 12 month period ending 30 September.</w:t>
      </w:r>
    </w:p>
    <w:p w:rsidR="00BE2AB4" w:rsidRDefault="00F321C2" w:rsidP="00BE2AB4">
      <w:pPr>
        <w:pStyle w:val="AHPRAbody"/>
      </w:pPr>
      <w:r>
        <w:t xml:space="preserve">The </w:t>
      </w:r>
      <w:r w:rsidR="004237B4">
        <w:t xml:space="preserve">revised CPD </w:t>
      </w:r>
      <w:r>
        <w:t>standard</w:t>
      </w:r>
      <w:r w:rsidR="00BE2AB4">
        <w:t xml:space="preserve"> came</w:t>
      </w:r>
      <w:r w:rsidR="003B2AD2">
        <w:t xml:space="preserve"> into effect on 1 December 2015</w:t>
      </w:r>
      <w:r>
        <w:t xml:space="preserve">. The Board’s revised </w:t>
      </w:r>
      <w:r w:rsidRPr="00F321C2">
        <w:rPr>
          <w:i/>
        </w:rPr>
        <w:t>Guidelines on continuing professional development</w:t>
      </w:r>
      <w:r w:rsidR="004237B4">
        <w:rPr>
          <w:i/>
        </w:rPr>
        <w:t>,</w:t>
      </w:r>
      <w:r>
        <w:t xml:space="preserve"> which also cam</w:t>
      </w:r>
      <w:r w:rsidR="003B2AD2">
        <w:t>e into effect on 1 December 2015</w:t>
      </w:r>
      <w:r w:rsidR="004237B4">
        <w:t>,</w:t>
      </w:r>
      <w:r>
        <w:t xml:space="preserve"> guide pharmacists on how to meet the requirements of the standard.</w:t>
      </w:r>
    </w:p>
    <w:p w:rsidR="00755DC1" w:rsidRPr="001F3193" w:rsidRDefault="00755DC1" w:rsidP="00026ADD">
      <w:pPr>
        <w:pStyle w:val="Default"/>
        <w:spacing w:after="200"/>
        <w:rPr>
          <w:b/>
          <w:bCs/>
          <w:color w:val="008EC4"/>
          <w:sz w:val="20"/>
          <w:szCs w:val="20"/>
        </w:rPr>
      </w:pPr>
      <w:r w:rsidRPr="001F3193">
        <w:rPr>
          <w:b/>
          <w:bCs/>
          <w:color w:val="008EC4"/>
          <w:sz w:val="20"/>
          <w:szCs w:val="20"/>
        </w:rPr>
        <w:t xml:space="preserve">Further information </w:t>
      </w:r>
    </w:p>
    <w:p w:rsidR="00DF1589" w:rsidRDefault="00755DC1" w:rsidP="00026ADD">
      <w:pPr>
        <w:pStyle w:val="AHPRAbody"/>
      </w:pPr>
      <w:r w:rsidRPr="00553EAC">
        <w:t xml:space="preserve">The Board publishes a range of information </w:t>
      </w:r>
      <w:r>
        <w:t xml:space="preserve">for pharmacists on its website at </w:t>
      </w:r>
      <w:hyperlink r:id="rId9" w:history="1">
        <w:r w:rsidRPr="00C472AE">
          <w:rPr>
            <w:rStyle w:val="Hyperlink"/>
          </w:rPr>
          <w:t>www.pharmacyboard.gov.au</w:t>
        </w:r>
      </w:hyperlink>
      <w:r>
        <w:t>.</w:t>
      </w:r>
      <w:r w:rsidR="00CE39AC">
        <w:t xml:space="preserve"> </w:t>
      </w:r>
      <w:r w:rsidRPr="00553EAC">
        <w:t>For more information about registration</w:t>
      </w:r>
      <w:r>
        <w:t>, notifications or other matters relevant to the National Registration and Accreditation Scheme</w:t>
      </w:r>
      <w:r w:rsidRPr="00553EAC">
        <w:t xml:space="preserve"> </w:t>
      </w:r>
      <w:r>
        <w:t xml:space="preserve">also refer to information published on </w:t>
      </w:r>
      <w:hyperlink r:id="rId10" w:history="1">
        <w:r w:rsidRPr="00C472AE">
          <w:rPr>
            <w:rStyle w:val="Hyperlink"/>
          </w:rPr>
          <w:t>www.ahpra.gov.au</w:t>
        </w:r>
      </w:hyperlink>
      <w:r>
        <w:t xml:space="preserve"> or s</w:t>
      </w:r>
      <w:r w:rsidRPr="00553EAC">
        <w:t xml:space="preserve">end an </w:t>
      </w:r>
      <w:hyperlink r:id="rId11" w:anchor="Webenquiryform" w:history="1">
        <w:r w:rsidRPr="00553EAC">
          <w:rPr>
            <w:rStyle w:val="Hyperlink"/>
          </w:rPr>
          <w:t>online enquiry form</w:t>
        </w:r>
      </w:hyperlink>
      <w:r w:rsidRPr="00553EAC">
        <w:rPr>
          <w:color w:val="0000FF"/>
          <w:u w:val="single"/>
        </w:rPr>
        <w:t xml:space="preserve"> </w:t>
      </w:r>
      <w:r w:rsidRPr="00553EAC">
        <w:t>or contact AHPRA on 1300 419 495.</w:t>
      </w:r>
      <w:r>
        <w:t xml:space="preserve"> </w:t>
      </w:r>
    </w:p>
    <w:p w:rsidR="00DF1589" w:rsidRDefault="00755DC1">
      <w:pPr>
        <w:spacing w:after="120"/>
        <w:contextualSpacing/>
        <w:rPr>
          <w:sz w:val="20"/>
          <w:szCs w:val="20"/>
          <w:lang w:val="en-US"/>
        </w:rPr>
      </w:pPr>
      <w:r>
        <w:rPr>
          <w:sz w:val="20"/>
          <w:szCs w:val="20"/>
          <w:lang w:val="en-US"/>
        </w:rPr>
        <w:t>William Kelly</w:t>
      </w:r>
    </w:p>
    <w:p w:rsidR="00DF1589" w:rsidRDefault="00755DC1">
      <w:pPr>
        <w:spacing w:after="120"/>
        <w:contextualSpacing/>
        <w:rPr>
          <w:sz w:val="20"/>
          <w:szCs w:val="20"/>
          <w:lang w:val="en-US"/>
        </w:rPr>
      </w:pPr>
      <w:r w:rsidRPr="001B3F78">
        <w:rPr>
          <w:sz w:val="20"/>
          <w:szCs w:val="20"/>
          <w:lang w:val="en-US"/>
        </w:rPr>
        <w:t>Chair</w:t>
      </w:r>
      <w:r>
        <w:rPr>
          <w:sz w:val="20"/>
          <w:szCs w:val="20"/>
          <w:lang w:val="en-US"/>
        </w:rPr>
        <w:t>, Pharmacy Board of Australia</w:t>
      </w:r>
    </w:p>
    <w:p w:rsidR="00DF1589" w:rsidRDefault="006C4097">
      <w:pPr>
        <w:spacing w:after="120"/>
        <w:rPr>
          <w:sz w:val="20"/>
          <w:szCs w:val="20"/>
          <w:lang w:val="en-US"/>
        </w:rPr>
      </w:pPr>
      <w:r>
        <w:rPr>
          <w:sz w:val="20"/>
          <w:szCs w:val="20"/>
          <w:lang w:val="en-US"/>
        </w:rPr>
        <w:t>2 September</w:t>
      </w:r>
      <w:r w:rsidR="00BE0E78">
        <w:rPr>
          <w:sz w:val="20"/>
          <w:szCs w:val="20"/>
          <w:lang w:val="en-US"/>
        </w:rPr>
        <w:t xml:space="preserve"> </w:t>
      </w:r>
      <w:r w:rsidR="00C96C59">
        <w:rPr>
          <w:sz w:val="20"/>
          <w:szCs w:val="20"/>
          <w:lang w:val="en-US"/>
        </w:rPr>
        <w:t>2016</w:t>
      </w:r>
    </w:p>
    <w:p w:rsidR="00DF1589" w:rsidRDefault="00DF1589">
      <w:pPr>
        <w:rPr>
          <w:sz w:val="20"/>
          <w:szCs w:val="20"/>
          <w:lang w:val="en-US"/>
        </w:rPr>
      </w:pPr>
    </w:p>
    <w:p w:rsidR="00DF1589" w:rsidRDefault="00F6732C">
      <w:pPr>
        <w:pStyle w:val="AHPRAHeadline"/>
        <w:spacing w:after="120"/>
        <w:rPr>
          <w:i/>
          <w:color w:val="auto"/>
          <w:sz w:val="18"/>
          <w:szCs w:val="18"/>
        </w:rPr>
      </w:pPr>
      <w:hyperlink r:id="rId12" w:history="1">
        <w:r w:rsidR="00755DC1" w:rsidRPr="00E97FA1">
          <w:rPr>
            <w:rStyle w:val="Hyperlink"/>
            <w:i/>
            <w:sz w:val="18"/>
            <w:szCs w:val="18"/>
          </w:rPr>
          <w:t>The Pharmacy Board of Australia</w:t>
        </w:r>
      </w:hyperlink>
      <w:r w:rsidR="00755DC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3" w:history="1">
        <w:r w:rsidR="00755DC1" w:rsidRPr="00E97FA1">
          <w:rPr>
            <w:rStyle w:val="Hyperlink"/>
            <w:i/>
            <w:sz w:val="18"/>
            <w:szCs w:val="18"/>
          </w:rPr>
          <w:t>regulatory principles</w:t>
        </w:r>
      </w:hyperlink>
      <w:r w:rsidR="00755DC1" w:rsidRPr="00E97FA1">
        <w:rPr>
          <w:i/>
          <w:color w:val="auto"/>
          <w:sz w:val="18"/>
          <w:szCs w:val="18"/>
        </w:rPr>
        <w:t>, which encourage a responsive, risk-based approach to regulation.</w:t>
      </w:r>
    </w:p>
    <w:p w:rsidR="00DF1589" w:rsidRPr="00DB4511" w:rsidRDefault="00755DC1">
      <w:pPr>
        <w:pStyle w:val="AHPRAHeadline"/>
        <w:spacing w:after="120"/>
        <w:rPr>
          <w:i/>
          <w:iCs/>
          <w:color w:val="auto"/>
          <w:sz w:val="18"/>
          <w:szCs w:val="18"/>
        </w:rPr>
      </w:pPr>
      <w:r w:rsidRPr="00E97FA1">
        <w:rPr>
          <w:i/>
          <w:iCs/>
          <w:color w:val="auto"/>
          <w:sz w:val="18"/>
          <w:szCs w:val="18"/>
        </w:rPr>
        <w:t>*Except in NSW and Q</w:t>
      </w:r>
      <w:r w:rsidR="00FD0E8B">
        <w:rPr>
          <w:i/>
          <w:iCs/>
          <w:color w:val="auto"/>
          <w:sz w:val="18"/>
          <w:szCs w:val="18"/>
        </w:rPr>
        <w:t>ld</w:t>
      </w:r>
      <w:r w:rsidRPr="00E97FA1">
        <w:rPr>
          <w:i/>
          <w:iCs/>
          <w:color w:val="auto"/>
          <w:sz w:val="18"/>
          <w:szCs w:val="18"/>
        </w:rPr>
        <w:t xml:space="preserve"> </w:t>
      </w:r>
      <w:r>
        <w:rPr>
          <w:i/>
          <w:iCs/>
          <w:color w:val="auto"/>
          <w:sz w:val="18"/>
          <w:szCs w:val="18"/>
        </w:rPr>
        <w:t>which have co-regulatory arrangements.</w:t>
      </w:r>
    </w:p>
    <w:sectPr w:rsidR="00DF1589" w:rsidRPr="00DB4511" w:rsidSect="008D4206">
      <w:headerReference w:type="default" r:id="rId14"/>
      <w:footerReference w:type="even" r:id="rId15"/>
      <w:footerReference w:type="default" r:id="rId16"/>
      <w:headerReference w:type="first" r:id="rId17"/>
      <w:footerReference w:type="first" r:id="rId18"/>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B4" w:rsidRDefault="00BE2AB4" w:rsidP="00FC2881">
      <w:r>
        <w:separator/>
      </w:r>
    </w:p>
    <w:p w:rsidR="00BE2AB4" w:rsidRDefault="00BE2AB4"/>
  </w:endnote>
  <w:endnote w:type="continuationSeparator" w:id="0">
    <w:p w:rsidR="00BE2AB4" w:rsidRDefault="00BE2AB4" w:rsidP="00FC2881">
      <w:r>
        <w:continuationSeparator/>
      </w:r>
    </w:p>
    <w:p w:rsidR="00BE2AB4" w:rsidRDefault="00BE2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B4" w:rsidRDefault="0011533D" w:rsidP="00FC2881">
    <w:pPr>
      <w:pStyle w:val="AHPRAfootnote"/>
      <w:framePr w:wrap="around" w:vAnchor="text" w:hAnchor="margin" w:xAlign="right" w:y="1"/>
    </w:pPr>
    <w:r>
      <w:fldChar w:fldCharType="begin"/>
    </w:r>
    <w:r w:rsidR="00BE2AB4">
      <w:instrText xml:space="preserve">PAGE  </w:instrText>
    </w:r>
    <w:r>
      <w:fldChar w:fldCharType="end"/>
    </w:r>
  </w:p>
  <w:p w:rsidR="00BE2AB4" w:rsidRDefault="00BE2AB4" w:rsidP="00FC2881">
    <w:pPr>
      <w:pStyle w:val="AHPRAfootnote"/>
      <w:ind w:right="360"/>
    </w:pPr>
  </w:p>
  <w:p w:rsidR="00BE2AB4" w:rsidRDefault="00BE2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B4" w:rsidRPr="000E7E28" w:rsidRDefault="00F6732C" w:rsidP="000E7E28">
    <w:pPr>
      <w:pStyle w:val="AHPRApagenumber"/>
    </w:pPr>
    <w:sdt>
      <w:sdtPr>
        <w:id w:val="18143575"/>
        <w:docPartObj>
          <w:docPartGallery w:val="Page Numbers (Top of Page)"/>
          <w:docPartUnique/>
        </w:docPartObj>
      </w:sdtPr>
      <w:sdtEndPr/>
      <w:sdtContent>
        <w:r w:rsidR="00BE2AB4" w:rsidRPr="000E7E28">
          <w:t xml:space="preserve">Page </w:t>
        </w:r>
        <w:r>
          <w:fldChar w:fldCharType="begin"/>
        </w:r>
        <w:r>
          <w:instrText xml:space="preserve"> PAGE </w:instrText>
        </w:r>
        <w:r>
          <w:fldChar w:fldCharType="separate"/>
        </w:r>
        <w:r>
          <w:rPr>
            <w:noProof/>
          </w:rPr>
          <w:t>2</w:t>
        </w:r>
        <w:r>
          <w:rPr>
            <w:noProof/>
          </w:rPr>
          <w:fldChar w:fldCharType="end"/>
        </w:r>
        <w:r w:rsidR="00BE2AB4"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B4" w:rsidRPr="00E77E23" w:rsidRDefault="00BE2AB4" w:rsidP="00AB7F5D">
    <w:pPr>
      <w:pStyle w:val="AHPRAfirstpagefooter"/>
    </w:pPr>
    <w:r>
      <w:rPr>
        <w:color w:val="007DC3"/>
      </w:rPr>
      <w:t>Pharmacy</w:t>
    </w:r>
    <w:r w:rsidRPr="00E77E23">
      <w:t xml:space="preserve"> </w:t>
    </w:r>
    <w:r>
      <w:t>Board of Australia</w:t>
    </w:r>
  </w:p>
  <w:p w:rsidR="00BE2AB4" w:rsidRDefault="00BE2AB4"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B4" w:rsidRDefault="00BE2AB4" w:rsidP="000E7E28">
      <w:r>
        <w:separator/>
      </w:r>
    </w:p>
  </w:footnote>
  <w:footnote w:type="continuationSeparator" w:id="0">
    <w:p w:rsidR="00BE2AB4" w:rsidRDefault="00BE2AB4" w:rsidP="00FC2881">
      <w:r>
        <w:continuationSeparator/>
      </w:r>
    </w:p>
    <w:p w:rsidR="00BE2AB4" w:rsidRDefault="00BE2AB4"/>
  </w:footnote>
  <w:footnote w:type="continuationNotice" w:id="1">
    <w:p w:rsidR="00BE2AB4" w:rsidRDefault="00BE2AB4"/>
  </w:footnote>
  <w:footnote w:id="2">
    <w:p w:rsidR="00BE2AB4" w:rsidRPr="005632A0" w:rsidRDefault="00BE2AB4">
      <w:pPr>
        <w:pStyle w:val="FootnoteText"/>
        <w:rPr>
          <w:lang w:val="en-AU"/>
        </w:rPr>
      </w:pPr>
      <w:r>
        <w:rPr>
          <w:rStyle w:val="FootnoteReference"/>
        </w:rPr>
        <w:footnoteRef/>
      </w:r>
      <w:r>
        <w:t xml:space="preserve"> </w:t>
      </w:r>
      <w:r w:rsidRPr="008E4621">
        <w:rPr>
          <w:rFonts w:cs="Arial"/>
          <w:sz w:val="16"/>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B4" w:rsidRPr="00315933" w:rsidRDefault="00BE2AB4" w:rsidP="001F25BA">
    <w:pPr>
      <w:ind w:right="-567"/>
    </w:pPr>
  </w:p>
  <w:p w:rsidR="00BE2AB4" w:rsidRDefault="00BE2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B4" w:rsidRDefault="00BE2AB4"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19050" t="0" r="0" b="0"/>
          <wp:wrapSquare wrapText="bothSides"/>
          <wp:docPr id="12" name="Picture 7" descr="AHPRA_Pharmac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BE2AB4" w:rsidRDefault="00BE2AB4" w:rsidP="00E844A0"/>
  <w:p w:rsidR="00BE2AB4" w:rsidRDefault="00BE2AB4" w:rsidP="00E844A0"/>
  <w:p w:rsidR="00BE2AB4" w:rsidRDefault="00BE2AB4" w:rsidP="00E844A0"/>
  <w:p w:rsidR="00BE2AB4" w:rsidRDefault="00BE2AB4" w:rsidP="00E844A0"/>
  <w:p w:rsidR="00BE2AB4" w:rsidRDefault="00BE2AB4" w:rsidP="009226B7">
    <w:pPr>
      <w:tabs>
        <w:tab w:val="left" w:pos="3667"/>
      </w:tabs>
    </w:pPr>
    <w:r>
      <w:tab/>
    </w:r>
  </w:p>
  <w:p w:rsidR="00BE2AB4" w:rsidRDefault="00BE2AB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4F60EE4"/>
    <w:multiLevelType w:val="multilevel"/>
    <w:tmpl w:val="05EA60A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21F6E07"/>
    <w:multiLevelType w:val="hybridMultilevel"/>
    <w:tmpl w:val="BF2C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C6748"/>
    <w:multiLevelType w:val="multilevel"/>
    <w:tmpl w:val="1C927A24"/>
    <w:lvl w:ilvl="0">
      <w:start w:val="1"/>
      <w:numFmt w:val="decimal"/>
      <w:lvlText w:val="%1."/>
      <w:lvlJc w:val="left"/>
      <w:pPr>
        <w:ind w:left="738"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decimal"/>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8A76A51"/>
    <w:multiLevelType w:val="hybridMultilevel"/>
    <w:tmpl w:val="F806C5A8"/>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21B20"/>
    <w:multiLevelType w:val="hybridMultilevel"/>
    <w:tmpl w:val="C576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5173F"/>
    <w:multiLevelType w:val="hybridMultilevel"/>
    <w:tmpl w:val="F88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2578D"/>
    <w:multiLevelType w:val="multilevel"/>
    <w:tmpl w:val="BE20683A"/>
    <w:numStyleLink w:val="AHPRANumberedheadinglist"/>
  </w:abstractNum>
  <w:abstractNum w:abstractNumId="13" w15:restartNumberingAfterBreak="0">
    <w:nsid w:val="290616C5"/>
    <w:multiLevelType w:val="multilevel"/>
    <w:tmpl w:val="5FB871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51B68"/>
    <w:multiLevelType w:val="hybridMultilevel"/>
    <w:tmpl w:val="52DC2C60"/>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F794EDA"/>
    <w:multiLevelType w:val="multilevel"/>
    <w:tmpl w:val="A8C6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D1745"/>
    <w:multiLevelType w:val="multilevel"/>
    <w:tmpl w:val="EE885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4433A"/>
    <w:multiLevelType w:val="multilevel"/>
    <w:tmpl w:val="C4183F12"/>
    <w:numStyleLink w:val="AHPRANumberedlist"/>
  </w:abstractNum>
  <w:abstractNum w:abstractNumId="22" w15:restartNumberingAfterBreak="0">
    <w:nsid w:val="57C73319"/>
    <w:multiLevelType w:val="hybridMultilevel"/>
    <w:tmpl w:val="EF8696AE"/>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A2794"/>
    <w:multiLevelType w:val="hybridMultilevel"/>
    <w:tmpl w:val="09E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D5834"/>
    <w:multiLevelType w:val="multilevel"/>
    <w:tmpl w:val="0E7CEA8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42EA7"/>
    <w:multiLevelType w:val="multilevel"/>
    <w:tmpl w:val="CF9C4F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4F67EC5"/>
    <w:multiLevelType w:val="hybridMultilevel"/>
    <w:tmpl w:val="2B5A7B4C"/>
    <w:lvl w:ilvl="0" w:tplc="0C090001">
      <w:start w:val="1"/>
      <w:numFmt w:val="bullet"/>
      <w:lvlText w:val=""/>
      <w:lvlJc w:val="left"/>
      <w:pPr>
        <w:ind w:left="6" w:hanging="360"/>
      </w:pPr>
      <w:rPr>
        <w:rFonts w:ascii="Symbol" w:hAnsi="Symbol" w:hint="default"/>
        <w:sz w:val="20"/>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8"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1" w15:restartNumberingAfterBreak="0">
    <w:nsid w:val="73497FE5"/>
    <w:multiLevelType w:val="hybridMultilevel"/>
    <w:tmpl w:val="A894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583F52"/>
    <w:multiLevelType w:val="hybridMultilevel"/>
    <w:tmpl w:val="BB4E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154B0"/>
    <w:multiLevelType w:val="multilevel"/>
    <w:tmpl w:val="C4183F12"/>
    <w:numStyleLink w:val="AHPRANumberedlist"/>
  </w:abstractNum>
  <w:abstractNum w:abstractNumId="3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31660"/>
    <w:multiLevelType w:val="multilevel"/>
    <w:tmpl w:val="C4183F12"/>
    <w:numStyleLink w:val="AHPRANumberedlist"/>
  </w:abstractNum>
  <w:abstractNum w:abstractNumId="36" w15:restartNumberingAfterBreak="0">
    <w:nsid w:val="7E3462A5"/>
    <w:multiLevelType w:val="hybridMultilevel"/>
    <w:tmpl w:val="E73C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
  </w:num>
  <w:num w:numId="4">
    <w:abstractNumId w:val="5"/>
  </w:num>
  <w:num w:numId="5">
    <w:abstractNumId w:val="8"/>
  </w:num>
  <w:num w:numId="6">
    <w:abstractNumId w:val="12"/>
  </w:num>
  <w:num w:numId="7">
    <w:abstractNumId w:val="1"/>
  </w:num>
  <w:num w:numId="8">
    <w:abstractNumId w:val="14"/>
  </w:num>
  <w:num w:numId="9">
    <w:abstractNumId w:val="34"/>
  </w:num>
  <w:num w:numId="10">
    <w:abstractNumId w:val="21"/>
  </w:num>
  <w:num w:numId="11">
    <w:abstractNumId w:val="4"/>
  </w:num>
  <w:num w:numId="12">
    <w:abstractNumId w:val="33"/>
  </w:num>
  <w:num w:numId="13">
    <w:abstractNumId w:val="35"/>
  </w:num>
  <w:num w:numId="14">
    <w:abstractNumId w:val="28"/>
  </w:num>
  <w:num w:numId="15">
    <w:abstractNumId w:val="6"/>
  </w:num>
  <w:num w:numId="16">
    <w:abstractNumId w:val="32"/>
  </w:num>
  <w:num w:numId="17">
    <w:abstractNumId w:val="15"/>
  </w:num>
  <w:num w:numId="18">
    <w:abstractNumId w:val="22"/>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9"/>
  </w:num>
  <w:num w:numId="23">
    <w:abstractNumId w:val="27"/>
  </w:num>
  <w:num w:numId="24">
    <w:abstractNumId w:val="13"/>
  </w:num>
  <w:num w:numId="25">
    <w:abstractNumId w:val="20"/>
  </w:num>
  <w:num w:numId="26">
    <w:abstractNumId w:val="18"/>
  </w:num>
  <w:num w:numId="27">
    <w:abstractNumId w:val="25"/>
  </w:num>
  <w:num w:numId="28">
    <w:abstractNumId w:val="30"/>
  </w:num>
  <w:num w:numId="29">
    <w:abstractNumId w:val="0"/>
  </w:num>
  <w:num w:numId="30">
    <w:abstractNumId w:val="3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3"/>
  </w:num>
  <w:num w:numId="34">
    <w:abstractNumId w:val="7"/>
  </w:num>
  <w:num w:numId="35">
    <w:abstractNumId w:val="36"/>
  </w:num>
  <w:num w:numId="36">
    <w:abstractNumId w:val="24"/>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5485D"/>
    <w:rsid w:val="00000033"/>
    <w:rsid w:val="00000FA6"/>
    <w:rsid w:val="00003949"/>
    <w:rsid w:val="00006922"/>
    <w:rsid w:val="00026ADD"/>
    <w:rsid w:val="000334D7"/>
    <w:rsid w:val="00054344"/>
    <w:rsid w:val="00061F68"/>
    <w:rsid w:val="0007069C"/>
    <w:rsid w:val="00071439"/>
    <w:rsid w:val="000945FB"/>
    <w:rsid w:val="00095E79"/>
    <w:rsid w:val="00096D52"/>
    <w:rsid w:val="000A0333"/>
    <w:rsid w:val="000A35A6"/>
    <w:rsid w:val="000A6BF7"/>
    <w:rsid w:val="000A7E95"/>
    <w:rsid w:val="000C1AB8"/>
    <w:rsid w:val="000C5F59"/>
    <w:rsid w:val="000D7866"/>
    <w:rsid w:val="000D7A1A"/>
    <w:rsid w:val="000E7E28"/>
    <w:rsid w:val="000F5D90"/>
    <w:rsid w:val="0010139F"/>
    <w:rsid w:val="0011533D"/>
    <w:rsid w:val="00136D9A"/>
    <w:rsid w:val="00136FE7"/>
    <w:rsid w:val="00142930"/>
    <w:rsid w:val="00143CC2"/>
    <w:rsid w:val="001449F4"/>
    <w:rsid w:val="00144DEF"/>
    <w:rsid w:val="001506FE"/>
    <w:rsid w:val="00151917"/>
    <w:rsid w:val="00154723"/>
    <w:rsid w:val="001575FF"/>
    <w:rsid w:val="00157B0A"/>
    <w:rsid w:val="00167B00"/>
    <w:rsid w:val="00176095"/>
    <w:rsid w:val="001765D0"/>
    <w:rsid w:val="00180834"/>
    <w:rsid w:val="001829D0"/>
    <w:rsid w:val="00196CA4"/>
    <w:rsid w:val="001A2917"/>
    <w:rsid w:val="001B1C3A"/>
    <w:rsid w:val="001B6B93"/>
    <w:rsid w:val="001C425C"/>
    <w:rsid w:val="001D0774"/>
    <w:rsid w:val="001E19F7"/>
    <w:rsid w:val="001E1E31"/>
    <w:rsid w:val="001E2849"/>
    <w:rsid w:val="001E4A94"/>
    <w:rsid w:val="001E5621"/>
    <w:rsid w:val="001E77B0"/>
    <w:rsid w:val="001F0AFD"/>
    <w:rsid w:val="001F179D"/>
    <w:rsid w:val="001F25BA"/>
    <w:rsid w:val="001F2975"/>
    <w:rsid w:val="002107C0"/>
    <w:rsid w:val="002173CC"/>
    <w:rsid w:val="00220042"/>
    <w:rsid w:val="00220A3B"/>
    <w:rsid w:val="00221453"/>
    <w:rsid w:val="002225FB"/>
    <w:rsid w:val="00224708"/>
    <w:rsid w:val="00227885"/>
    <w:rsid w:val="00230645"/>
    <w:rsid w:val="00231A4D"/>
    <w:rsid w:val="002352CE"/>
    <w:rsid w:val="00235305"/>
    <w:rsid w:val="0024145A"/>
    <w:rsid w:val="00250FD7"/>
    <w:rsid w:val="0025485D"/>
    <w:rsid w:val="00264622"/>
    <w:rsid w:val="00271434"/>
    <w:rsid w:val="002800A3"/>
    <w:rsid w:val="0028013F"/>
    <w:rsid w:val="002874B2"/>
    <w:rsid w:val="00294E86"/>
    <w:rsid w:val="00295B44"/>
    <w:rsid w:val="00297274"/>
    <w:rsid w:val="002A68BD"/>
    <w:rsid w:val="002A6F9C"/>
    <w:rsid w:val="002A7DC2"/>
    <w:rsid w:val="002B2D48"/>
    <w:rsid w:val="002C08FB"/>
    <w:rsid w:val="002C0EA4"/>
    <w:rsid w:val="002C34EA"/>
    <w:rsid w:val="002C51E6"/>
    <w:rsid w:val="002D4B7A"/>
    <w:rsid w:val="002F5796"/>
    <w:rsid w:val="003001D4"/>
    <w:rsid w:val="00303BE1"/>
    <w:rsid w:val="00305AFC"/>
    <w:rsid w:val="00313784"/>
    <w:rsid w:val="00324A99"/>
    <w:rsid w:val="003354E4"/>
    <w:rsid w:val="0034108D"/>
    <w:rsid w:val="00353D8A"/>
    <w:rsid w:val="00357028"/>
    <w:rsid w:val="00361885"/>
    <w:rsid w:val="00363D1A"/>
    <w:rsid w:val="00373184"/>
    <w:rsid w:val="00380CB2"/>
    <w:rsid w:val="0038620E"/>
    <w:rsid w:val="0039141B"/>
    <w:rsid w:val="003A18C5"/>
    <w:rsid w:val="003B2AD2"/>
    <w:rsid w:val="003B68F7"/>
    <w:rsid w:val="003C4C81"/>
    <w:rsid w:val="003C7919"/>
    <w:rsid w:val="003D6DBD"/>
    <w:rsid w:val="003E00B5"/>
    <w:rsid w:val="003E3268"/>
    <w:rsid w:val="003E4B0B"/>
    <w:rsid w:val="003E5071"/>
    <w:rsid w:val="003F2F06"/>
    <w:rsid w:val="00405C0A"/>
    <w:rsid w:val="00414F2C"/>
    <w:rsid w:val="00421184"/>
    <w:rsid w:val="004237B4"/>
    <w:rsid w:val="00427D75"/>
    <w:rsid w:val="00432D17"/>
    <w:rsid w:val="00450B34"/>
    <w:rsid w:val="004573BB"/>
    <w:rsid w:val="004606A7"/>
    <w:rsid w:val="00461C91"/>
    <w:rsid w:val="00472683"/>
    <w:rsid w:val="00472FB6"/>
    <w:rsid w:val="0047542D"/>
    <w:rsid w:val="00491FE2"/>
    <w:rsid w:val="004A5E5D"/>
    <w:rsid w:val="004B747B"/>
    <w:rsid w:val="004C04E3"/>
    <w:rsid w:val="004D7537"/>
    <w:rsid w:val="004E3B5B"/>
    <w:rsid w:val="004F5C05"/>
    <w:rsid w:val="005315D9"/>
    <w:rsid w:val="00536208"/>
    <w:rsid w:val="0053749F"/>
    <w:rsid w:val="00546C3A"/>
    <w:rsid w:val="0055204A"/>
    <w:rsid w:val="00553A4C"/>
    <w:rsid w:val="00554335"/>
    <w:rsid w:val="005565CE"/>
    <w:rsid w:val="005632A0"/>
    <w:rsid w:val="00564090"/>
    <w:rsid w:val="00566805"/>
    <w:rsid w:val="005708AE"/>
    <w:rsid w:val="00577362"/>
    <w:rsid w:val="0058028E"/>
    <w:rsid w:val="00585CC0"/>
    <w:rsid w:val="00592249"/>
    <w:rsid w:val="00593C13"/>
    <w:rsid w:val="005A0FA9"/>
    <w:rsid w:val="005C276D"/>
    <w:rsid w:val="005C5932"/>
    <w:rsid w:val="005C6817"/>
    <w:rsid w:val="005E2917"/>
    <w:rsid w:val="005F0CD2"/>
    <w:rsid w:val="005F4A44"/>
    <w:rsid w:val="00603C62"/>
    <w:rsid w:val="00616043"/>
    <w:rsid w:val="006277AF"/>
    <w:rsid w:val="006356A5"/>
    <w:rsid w:val="00640B2C"/>
    <w:rsid w:val="00647723"/>
    <w:rsid w:val="00660BA5"/>
    <w:rsid w:val="00660D4B"/>
    <w:rsid w:val="00667CAD"/>
    <w:rsid w:val="00681D5E"/>
    <w:rsid w:val="00686305"/>
    <w:rsid w:val="00686F30"/>
    <w:rsid w:val="0069195D"/>
    <w:rsid w:val="00692B04"/>
    <w:rsid w:val="0069699F"/>
    <w:rsid w:val="006C0257"/>
    <w:rsid w:val="006C0E29"/>
    <w:rsid w:val="006C4097"/>
    <w:rsid w:val="006C68F6"/>
    <w:rsid w:val="006D27C7"/>
    <w:rsid w:val="006D30FE"/>
    <w:rsid w:val="006D3757"/>
    <w:rsid w:val="006F7348"/>
    <w:rsid w:val="006F796D"/>
    <w:rsid w:val="0070155F"/>
    <w:rsid w:val="00702EE6"/>
    <w:rsid w:val="007043AF"/>
    <w:rsid w:val="00707629"/>
    <w:rsid w:val="0070795B"/>
    <w:rsid w:val="0072156D"/>
    <w:rsid w:val="00721EC3"/>
    <w:rsid w:val="007235F6"/>
    <w:rsid w:val="007249BA"/>
    <w:rsid w:val="00734E4F"/>
    <w:rsid w:val="007372A4"/>
    <w:rsid w:val="00740D27"/>
    <w:rsid w:val="00741B04"/>
    <w:rsid w:val="00741B59"/>
    <w:rsid w:val="007426F7"/>
    <w:rsid w:val="007432A4"/>
    <w:rsid w:val="00755DC1"/>
    <w:rsid w:val="0076115C"/>
    <w:rsid w:val="007664F3"/>
    <w:rsid w:val="0079197C"/>
    <w:rsid w:val="007A0A32"/>
    <w:rsid w:val="007A1B73"/>
    <w:rsid w:val="007A21A0"/>
    <w:rsid w:val="007A35B9"/>
    <w:rsid w:val="007A3A8E"/>
    <w:rsid w:val="007A4894"/>
    <w:rsid w:val="007B77D6"/>
    <w:rsid w:val="007C0B6E"/>
    <w:rsid w:val="007C333B"/>
    <w:rsid w:val="007C3766"/>
    <w:rsid w:val="007D0B74"/>
    <w:rsid w:val="007D4836"/>
    <w:rsid w:val="007E28B1"/>
    <w:rsid w:val="007E2C84"/>
    <w:rsid w:val="007E3545"/>
    <w:rsid w:val="007F0095"/>
    <w:rsid w:val="007F74E3"/>
    <w:rsid w:val="0081224C"/>
    <w:rsid w:val="00824427"/>
    <w:rsid w:val="008338F7"/>
    <w:rsid w:val="00836397"/>
    <w:rsid w:val="00841F7C"/>
    <w:rsid w:val="00845054"/>
    <w:rsid w:val="00845D7B"/>
    <w:rsid w:val="008468C6"/>
    <w:rsid w:val="00852D1C"/>
    <w:rsid w:val="00856147"/>
    <w:rsid w:val="00860F40"/>
    <w:rsid w:val="008614EE"/>
    <w:rsid w:val="008615C9"/>
    <w:rsid w:val="00864020"/>
    <w:rsid w:val="00876424"/>
    <w:rsid w:val="00877659"/>
    <w:rsid w:val="00883C9B"/>
    <w:rsid w:val="00892932"/>
    <w:rsid w:val="008949DF"/>
    <w:rsid w:val="00894DD0"/>
    <w:rsid w:val="008979D5"/>
    <w:rsid w:val="008A4C3B"/>
    <w:rsid w:val="008B2AD7"/>
    <w:rsid w:val="008B7068"/>
    <w:rsid w:val="008D4206"/>
    <w:rsid w:val="008D55B8"/>
    <w:rsid w:val="008D6B7E"/>
    <w:rsid w:val="008D7845"/>
    <w:rsid w:val="008E6AA0"/>
    <w:rsid w:val="008F0D30"/>
    <w:rsid w:val="00922569"/>
    <w:rsid w:val="009226B7"/>
    <w:rsid w:val="00923B23"/>
    <w:rsid w:val="009245C9"/>
    <w:rsid w:val="0093543F"/>
    <w:rsid w:val="00937ED0"/>
    <w:rsid w:val="00952797"/>
    <w:rsid w:val="009614EE"/>
    <w:rsid w:val="0097049B"/>
    <w:rsid w:val="009777D3"/>
    <w:rsid w:val="009859E6"/>
    <w:rsid w:val="00996BFC"/>
    <w:rsid w:val="009A0A5D"/>
    <w:rsid w:val="009B4B8D"/>
    <w:rsid w:val="009C0EBE"/>
    <w:rsid w:val="009C6933"/>
    <w:rsid w:val="009E1795"/>
    <w:rsid w:val="009E1A11"/>
    <w:rsid w:val="009E38C9"/>
    <w:rsid w:val="009E7EA1"/>
    <w:rsid w:val="00A04C7A"/>
    <w:rsid w:val="00A058E5"/>
    <w:rsid w:val="00A07582"/>
    <w:rsid w:val="00A10C1A"/>
    <w:rsid w:val="00A16B6F"/>
    <w:rsid w:val="00A2072E"/>
    <w:rsid w:val="00A21B71"/>
    <w:rsid w:val="00A237BB"/>
    <w:rsid w:val="00A30BA4"/>
    <w:rsid w:val="00A33009"/>
    <w:rsid w:val="00A4108F"/>
    <w:rsid w:val="00A47A80"/>
    <w:rsid w:val="00A509AB"/>
    <w:rsid w:val="00A56C8F"/>
    <w:rsid w:val="00A70173"/>
    <w:rsid w:val="00A71C44"/>
    <w:rsid w:val="00A73479"/>
    <w:rsid w:val="00A74755"/>
    <w:rsid w:val="00A82078"/>
    <w:rsid w:val="00A838C8"/>
    <w:rsid w:val="00A839F8"/>
    <w:rsid w:val="00A91C42"/>
    <w:rsid w:val="00A925A4"/>
    <w:rsid w:val="00A93E8C"/>
    <w:rsid w:val="00A9516B"/>
    <w:rsid w:val="00A95299"/>
    <w:rsid w:val="00A9780A"/>
    <w:rsid w:val="00AA00AF"/>
    <w:rsid w:val="00AA10A8"/>
    <w:rsid w:val="00AA2FC9"/>
    <w:rsid w:val="00AB283D"/>
    <w:rsid w:val="00AB7F5D"/>
    <w:rsid w:val="00AC701A"/>
    <w:rsid w:val="00AD312E"/>
    <w:rsid w:val="00AD4B09"/>
    <w:rsid w:val="00AD7599"/>
    <w:rsid w:val="00AE3EAF"/>
    <w:rsid w:val="00AE730F"/>
    <w:rsid w:val="00AF20F6"/>
    <w:rsid w:val="00B024B0"/>
    <w:rsid w:val="00B255C3"/>
    <w:rsid w:val="00B34EDA"/>
    <w:rsid w:val="00B40CD2"/>
    <w:rsid w:val="00B41762"/>
    <w:rsid w:val="00B51748"/>
    <w:rsid w:val="00B54B37"/>
    <w:rsid w:val="00B57198"/>
    <w:rsid w:val="00B8203B"/>
    <w:rsid w:val="00B85023"/>
    <w:rsid w:val="00B9105A"/>
    <w:rsid w:val="00BA2456"/>
    <w:rsid w:val="00BA261B"/>
    <w:rsid w:val="00BA469B"/>
    <w:rsid w:val="00BA7BB9"/>
    <w:rsid w:val="00BA7E28"/>
    <w:rsid w:val="00BB2D22"/>
    <w:rsid w:val="00BB4A5B"/>
    <w:rsid w:val="00BC5E94"/>
    <w:rsid w:val="00BE0E78"/>
    <w:rsid w:val="00BE2AB4"/>
    <w:rsid w:val="00BF2534"/>
    <w:rsid w:val="00BF79DC"/>
    <w:rsid w:val="00C125C2"/>
    <w:rsid w:val="00C35DE1"/>
    <w:rsid w:val="00C3795C"/>
    <w:rsid w:val="00C524AA"/>
    <w:rsid w:val="00C54689"/>
    <w:rsid w:val="00C81B3A"/>
    <w:rsid w:val="00C83CF3"/>
    <w:rsid w:val="00C96C59"/>
    <w:rsid w:val="00CA1F26"/>
    <w:rsid w:val="00CB26F9"/>
    <w:rsid w:val="00CB6C08"/>
    <w:rsid w:val="00CD0DCA"/>
    <w:rsid w:val="00CD78B7"/>
    <w:rsid w:val="00CD7EB8"/>
    <w:rsid w:val="00CE39AC"/>
    <w:rsid w:val="00CF279D"/>
    <w:rsid w:val="00CF3C5B"/>
    <w:rsid w:val="00D03E8A"/>
    <w:rsid w:val="00D1140F"/>
    <w:rsid w:val="00D12F61"/>
    <w:rsid w:val="00D1550C"/>
    <w:rsid w:val="00D16594"/>
    <w:rsid w:val="00D201C6"/>
    <w:rsid w:val="00D2103E"/>
    <w:rsid w:val="00D27374"/>
    <w:rsid w:val="00D51E48"/>
    <w:rsid w:val="00D638E0"/>
    <w:rsid w:val="00D716BA"/>
    <w:rsid w:val="00D8404D"/>
    <w:rsid w:val="00D8602A"/>
    <w:rsid w:val="00DA0A4E"/>
    <w:rsid w:val="00DA69A8"/>
    <w:rsid w:val="00DB4511"/>
    <w:rsid w:val="00DC2952"/>
    <w:rsid w:val="00DC46A9"/>
    <w:rsid w:val="00DC55BA"/>
    <w:rsid w:val="00DD605C"/>
    <w:rsid w:val="00DE3B70"/>
    <w:rsid w:val="00DE5265"/>
    <w:rsid w:val="00DE79A1"/>
    <w:rsid w:val="00DF1589"/>
    <w:rsid w:val="00DF1AB7"/>
    <w:rsid w:val="00DF5E2B"/>
    <w:rsid w:val="00E07BE7"/>
    <w:rsid w:val="00E07C02"/>
    <w:rsid w:val="00E1254E"/>
    <w:rsid w:val="00E12B06"/>
    <w:rsid w:val="00E145B2"/>
    <w:rsid w:val="00E15BF6"/>
    <w:rsid w:val="00E301AF"/>
    <w:rsid w:val="00E33240"/>
    <w:rsid w:val="00E6550F"/>
    <w:rsid w:val="00E71CB9"/>
    <w:rsid w:val="00E7357F"/>
    <w:rsid w:val="00E73698"/>
    <w:rsid w:val="00E736B1"/>
    <w:rsid w:val="00E74923"/>
    <w:rsid w:val="00E77E23"/>
    <w:rsid w:val="00E8251C"/>
    <w:rsid w:val="00E844A0"/>
    <w:rsid w:val="00E97242"/>
    <w:rsid w:val="00EA2579"/>
    <w:rsid w:val="00EB47E8"/>
    <w:rsid w:val="00ED6266"/>
    <w:rsid w:val="00ED711F"/>
    <w:rsid w:val="00EF7BF6"/>
    <w:rsid w:val="00F13ED2"/>
    <w:rsid w:val="00F20162"/>
    <w:rsid w:val="00F278A0"/>
    <w:rsid w:val="00F27ACB"/>
    <w:rsid w:val="00F321C2"/>
    <w:rsid w:val="00F33A7D"/>
    <w:rsid w:val="00F34123"/>
    <w:rsid w:val="00F35FED"/>
    <w:rsid w:val="00F3616F"/>
    <w:rsid w:val="00F40273"/>
    <w:rsid w:val="00F6618F"/>
    <w:rsid w:val="00F6732C"/>
    <w:rsid w:val="00F70DD5"/>
    <w:rsid w:val="00F73165"/>
    <w:rsid w:val="00F90BCE"/>
    <w:rsid w:val="00FA1045"/>
    <w:rsid w:val="00FB257B"/>
    <w:rsid w:val="00FB64D5"/>
    <w:rsid w:val="00FC2881"/>
    <w:rsid w:val="00FC7BD7"/>
    <w:rsid w:val="00FD08F7"/>
    <w:rsid w:val="00FD0E8B"/>
    <w:rsid w:val="00FD471F"/>
    <w:rsid w:val="00FD5555"/>
    <w:rsid w:val="00FD7DC1"/>
    <w:rsid w:val="00FE17AB"/>
    <w:rsid w:val="00FE2D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6ADD7A-9D33-46AD-A01D-AA38B05B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99"/>
    <w:semiHidden/>
    <w:unhideWhenUsed/>
    <w:rsid w:val="005315D9"/>
    <w:rPr>
      <w:sz w:val="16"/>
      <w:szCs w:val="16"/>
    </w:rPr>
  </w:style>
  <w:style w:type="paragraph" w:styleId="CommentText">
    <w:name w:val="annotation text"/>
    <w:basedOn w:val="Normal"/>
    <w:link w:val="CommentTextChar"/>
    <w:uiPriority w:val="99"/>
    <w:unhideWhenUsed/>
    <w:rsid w:val="005315D9"/>
    <w:rPr>
      <w:sz w:val="20"/>
      <w:szCs w:val="20"/>
    </w:rPr>
  </w:style>
  <w:style w:type="character" w:customStyle="1" w:styleId="CommentTextChar">
    <w:name w:val="Comment Text Char"/>
    <w:basedOn w:val="DefaultParagraphFont"/>
    <w:link w:val="CommentText"/>
    <w:uiPriority w:val="99"/>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 w:type="paragraph" w:styleId="PlainText">
    <w:name w:val="Plain Text"/>
    <w:basedOn w:val="Normal"/>
    <w:link w:val="PlainTextChar"/>
    <w:uiPriority w:val="99"/>
    <w:semiHidden/>
    <w:unhideWhenUsed/>
    <w:rsid w:val="00FA1045"/>
    <w:pPr>
      <w:jc w:val="left"/>
    </w:pPr>
    <w:rPr>
      <w:rFonts w:eastAsiaTheme="minorHAnsi"/>
      <w:sz w:val="20"/>
      <w:szCs w:val="20"/>
    </w:rPr>
  </w:style>
  <w:style w:type="character" w:customStyle="1" w:styleId="PlainTextChar">
    <w:name w:val="Plain Text Char"/>
    <w:basedOn w:val="DefaultParagraphFont"/>
    <w:link w:val="PlainText"/>
    <w:uiPriority w:val="99"/>
    <w:semiHidden/>
    <w:rsid w:val="00FA1045"/>
    <w:rPr>
      <w:rFonts w:eastAsiaTheme="minorHAnsi" w:cs="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183">
      <w:bodyDiv w:val="1"/>
      <w:marLeft w:val="0"/>
      <w:marRight w:val="0"/>
      <w:marTop w:val="0"/>
      <w:marBottom w:val="0"/>
      <w:divBdr>
        <w:top w:val="none" w:sz="0" w:space="0" w:color="auto"/>
        <w:left w:val="none" w:sz="0" w:space="0" w:color="auto"/>
        <w:bottom w:val="none" w:sz="0" w:space="0" w:color="auto"/>
        <w:right w:val="none" w:sz="0" w:space="0" w:color="auto"/>
      </w:divBdr>
      <w:divsChild>
        <w:div w:id="1996447331">
          <w:marLeft w:val="0"/>
          <w:marRight w:val="0"/>
          <w:marTop w:val="0"/>
          <w:marBottom w:val="0"/>
          <w:divBdr>
            <w:top w:val="none" w:sz="0" w:space="0" w:color="auto"/>
            <w:left w:val="none" w:sz="0" w:space="0" w:color="auto"/>
            <w:bottom w:val="none" w:sz="0" w:space="0" w:color="auto"/>
            <w:right w:val="none" w:sz="0" w:space="0" w:color="auto"/>
          </w:divBdr>
          <w:divsChild>
            <w:div w:id="1667247871">
              <w:marLeft w:val="0"/>
              <w:marRight w:val="0"/>
              <w:marTop w:val="0"/>
              <w:marBottom w:val="0"/>
              <w:divBdr>
                <w:top w:val="none" w:sz="0" w:space="0" w:color="auto"/>
                <w:left w:val="none" w:sz="0" w:space="0" w:color="auto"/>
                <w:bottom w:val="none" w:sz="0" w:space="0" w:color="auto"/>
                <w:right w:val="none" w:sz="0" w:space="0" w:color="auto"/>
              </w:divBdr>
              <w:divsChild>
                <w:div w:id="780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507990214">
      <w:bodyDiv w:val="1"/>
      <w:marLeft w:val="0"/>
      <w:marRight w:val="0"/>
      <w:marTop w:val="0"/>
      <w:marBottom w:val="0"/>
      <w:divBdr>
        <w:top w:val="none" w:sz="0" w:space="0" w:color="auto"/>
        <w:left w:val="none" w:sz="0" w:space="0" w:color="auto"/>
        <w:bottom w:val="none" w:sz="0" w:space="0" w:color="auto"/>
        <w:right w:val="none" w:sz="0" w:space="0" w:color="auto"/>
      </w:divBdr>
      <w:divsChild>
        <w:div w:id="385883752">
          <w:marLeft w:val="0"/>
          <w:marRight w:val="0"/>
          <w:marTop w:val="0"/>
          <w:marBottom w:val="0"/>
          <w:divBdr>
            <w:top w:val="none" w:sz="0" w:space="0" w:color="auto"/>
            <w:left w:val="none" w:sz="0" w:space="0" w:color="auto"/>
            <w:bottom w:val="none" w:sz="0" w:space="0" w:color="auto"/>
            <w:right w:val="none" w:sz="0" w:space="0" w:color="auto"/>
          </w:divBdr>
          <w:divsChild>
            <w:div w:id="701516542">
              <w:marLeft w:val="0"/>
              <w:marRight w:val="0"/>
              <w:marTop w:val="0"/>
              <w:marBottom w:val="0"/>
              <w:divBdr>
                <w:top w:val="none" w:sz="0" w:space="0" w:color="auto"/>
                <w:left w:val="none" w:sz="0" w:space="0" w:color="auto"/>
                <w:bottom w:val="none" w:sz="0" w:space="0" w:color="auto"/>
                <w:right w:val="none" w:sz="0" w:space="0" w:color="auto"/>
              </w:divBdr>
              <w:divsChild>
                <w:div w:id="302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8932">
      <w:bodyDiv w:val="1"/>
      <w:marLeft w:val="0"/>
      <w:marRight w:val="0"/>
      <w:marTop w:val="0"/>
      <w:marBottom w:val="0"/>
      <w:divBdr>
        <w:top w:val="none" w:sz="0" w:space="0" w:color="auto"/>
        <w:left w:val="none" w:sz="0" w:space="0" w:color="auto"/>
        <w:bottom w:val="none" w:sz="0" w:space="0" w:color="auto"/>
        <w:right w:val="none" w:sz="0" w:space="0" w:color="auto"/>
      </w:divBdr>
    </w:div>
    <w:div w:id="662440924">
      <w:bodyDiv w:val="1"/>
      <w:marLeft w:val="0"/>
      <w:marRight w:val="0"/>
      <w:marTop w:val="0"/>
      <w:marBottom w:val="0"/>
      <w:divBdr>
        <w:top w:val="none" w:sz="0" w:space="0" w:color="auto"/>
        <w:left w:val="none" w:sz="0" w:space="0" w:color="auto"/>
        <w:bottom w:val="none" w:sz="0" w:space="0" w:color="auto"/>
        <w:right w:val="none" w:sz="0" w:space="0" w:color="auto"/>
      </w:divBdr>
    </w:div>
    <w:div w:id="797187853">
      <w:bodyDiv w:val="1"/>
      <w:marLeft w:val="0"/>
      <w:marRight w:val="0"/>
      <w:marTop w:val="0"/>
      <w:marBottom w:val="0"/>
      <w:divBdr>
        <w:top w:val="none" w:sz="0" w:space="0" w:color="auto"/>
        <w:left w:val="none" w:sz="0" w:space="0" w:color="auto"/>
        <w:bottom w:val="none" w:sz="0" w:space="0" w:color="auto"/>
        <w:right w:val="none" w:sz="0" w:space="0" w:color="auto"/>
      </w:divBdr>
      <w:divsChild>
        <w:div w:id="848104153">
          <w:marLeft w:val="0"/>
          <w:marRight w:val="0"/>
          <w:marTop w:val="0"/>
          <w:marBottom w:val="0"/>
          <w:divBdr>
            <w:top w:val="none" w:sz="0" w:space="0" w:color="auto"/>
            <w:left w:val="none" w:sz="0" w:space="0" w:color="auto"/>
            <w:bottom w:val="none" w:sz="0" w:space="0" w:color="auto"/>
            <w:right w:val="none" w:sz="0" w:space="0" w:color="auto"/>
          </w:divBdr>
          <w:divsChild>
            <w:div w:id="219564342">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63715940">
      <w:bodyDiv w:val="1"/>
      <w:marLeft w:val="0"/>
      <w:marRight w:val="0"/>
      <w:marTop w:val="0"/>
      <w:marBottom w:val="0"/>
      <w:divBdr>
        <w:top w:val="none" w:sz="0" w:space="0" w:color="auto"/>
        <w:left w:val="none" w:sz="0" w:space="0" w:color="auto"/>
        <w:bottom w:val="none" w:sz="0" w:space="0" w:color="auto"/>
        <w:right w:val="none" w:sz="0" w:space="0" w:color="auto"/>
      </w:divBdr>
      <w:divsChild>
        <w:div w:id="639262054">
          <w:marLeft w:val="0"/>
          <w:marRight w:val="0"/>
          <w:marTop w:val="0"/>
          <w:marBottom w:val="0"/>
          <w:divBdr>
            <w:top w:val="none" w:sz="0" w:space="0" w:color="auto"/>
            <w:left w:val="none" w:sz="0" w:space="0" w:color="auto"/>
            <w:bottom w:val="none" w:sz="0" w:space="0" w:color="auto"/>
            <w:right w:val="none" w:sz="0" w:space="0" w:color="auto"/>
          </w:divBdr>
          <w:divsChild>
            <w:div w:id="53479669">
              <w:marLeft w:val="0"/>
              <w:marRight w:val="0"/>
              <w:marTop w:val="0"/>
              <w:marBottom w:val="0"/>
              <w:divBdr>
                <w:top w:val="none" w:sz="0" w:space="0" w:color="auto"/>
                <w:left w:val="none" w:sz="0" w:space="0" w:color="auto"/>
                <w:bottom w:val="none" w:sz="0" w:space="0" w:color="auto"/>
                <w:right w:val="none" w:sz="0" w:space="0" w:color="auto"/>
              </w:divBdr>
              <w:divsChild>
                <w:div w:id="1981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20261">
      <w:bodyDiv w:val="1"/>
      <w:marLeft w:val="0"/>
      <w:marRight w:val="0"/>
      <w:marTop w:val="0"/>
      <w:marBottom w:val="0"/>
      <w:divBdr>
        <w:top w:val="none" w:sz="0" w:space="0" w:color="auto"/>
        <w:left w:val="none" w:sz="0" w:space="0" w:color="auto"/>
        <w:bottom w:val="none" w:sz="0" w:space="0" w:color="auto"/>
        <w:right w:val="none" w:sz="0" w:space="0" w:color="auto"/>
      </w:divBdr>
      <w:divsChild>
        <w:div w:id="589588292">
          <w:marLeft w:val="0"/>
          <w:marRight w:val="0"/>
          <w:marTop w:val="0"/>
          <w:marBottom w:val="0"/>
          <w:divBdr>
            <w:top w:val="none" w:sz="0" w:space="0" w:color="auto"/>
            <w:left w:val="none" w:sz="0" w:space="0" w:color="auto"/>
            <w:bottom w:val="none" w:sz="0" w:space="0" w:color="auto"/>
            <w:right w:val="none" w:sz="0" w:space="0" w:color="auto"/>
          </w:divBdr>
          <w:divsChild>
            <w:div w:id="1945114319">
              <w:marLeft w:val="0"/>
              <w:marRight w:val="0"/>
              <w:marTop w:val="0"/>
              <w:marBottom w:val="0"/>
              <w:divBdr>
                <w:top w:val="none" w:sz="0" w:space="0" w:color="auto"/>
                <w:left w:val="none" w:sz="0" w:space="0" w:color="auto"/>
                <w:bottom w:val="none" w:sz="0" w:space="0" w:color="auto"/>
                <w:right w:val="none" w:sz="0" w:space="0" w:color="auto"/>
              </w:divBdr>
              <w:divsChild>
                <w:div w:id="575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3252">
      <w:bodyDiv w:val="1"/>
      <w:marLeft w:val="0"/>
      <w:marRight w:val="0"/>
      <w:marTop w:val="0"/>
      <w:marBottom w:val="0"/>
      <w:divBdr>
        <w:top w:val="none" w:sz="0" w:space="0" w:color="auto"/>
        <w:left w:val="none" w:sz="0" w:space="0" w:color="auto"/>
        <w:bottom w:val="none" w:sz="0" w:space="0" w:color="auto"/>
        <w:right w:val="none" w:sz="0" w:space="0" w:color="auto"/>
      </w:divBdr>
      <w:divsChild>
        <w:div w:id="41177382">
          <w:marLeft w:val="0"/>
          <w:marRight w:val="0"/>
          <w:marTop w:val="0"/>
          <w:marBottom w:val="0"/>
          <w:divBdr>
            <w:top w:val="none" w:sz="0" w:space="0" w:color="auto"/>
            <w:left w:val="none" w:sz="0" w:space="0" w:color="auto"/>
            <w:bottom w:val="none" w:sz="0" w:space="0" w:color="auto"/>
            <w:right w:val="none" w:sz="0" w:space="0" w:color="auto"/>
          </w:divBdr>
          <w:divsChild>
            <w:div w:id="1443451786">
              <w:marLeft w:val="0"/>
              <w:marRight w:val="0"/>
              <w:marTop w:val="0"/>
              <w:marBottom w:val="0"/>
              <w:divBdr>
                <w:top w:val="none" w:sz="0" w:space="0" w:color="auto"/>
                <w:left w:val="none" w:sz="0" w:space="0" w:color="auto"/>
                <w:bottom w:val="none" w:sz="0" w:space="0" w:color="auto"/>
                <w:right w:val="none" w:sz="0" w:space="0" w:color="auto"/>
              </w:divBdr>
              <w:divsChild>
                <w:div w:id="72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9557">
      <w:bodyDiv w:val="1"/>
      <w:marLeft w:val="0"/>
      <w:marRight w:val="0"/>
      <w:marTop w:val="0"/>
      <w:marBottom w:val="0"/>
      <w:divBdr>
        <w:top w:val="none" w:sz="0" w:space="0" w:color="auto"/>
        <w:left w:val="none" w:sz="0" w:space="0" w:color="auto"/>
        <w:bottom w:val="none" w:sz="0" w:space="0" w:color="auto"/>
        <w:right w:val="none" w:sz="0" w:space="0" w:color="auto"/>
      </w:divBdr>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3621716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55">
          <w:marLeft w:val="0"/>
          <w:marRight w:val="0"/>
          <w:marTop w:val="0"/>
          <w:marBottom w:val="0"/>
          <w:divBdr>
            <w:top w:val="none" w:sz="0" w:space="0" w:color="auto"/>
            <w:left w:val="none" w:sz="0" w:space="0" w:color="auto"/>
            <w:bottom w:val="none" w:sz="0" w:space="0" w:color="auto"/>
            <w:right w:val="none" w:sz="0" w:space="0" w:color="auto"/>
          </w:divBdr>
          <w:divsChild>
            <w:div w:id="1802111522">
              <w:marLeft w:val="0"/>
              <w:marRight w:val="0"/>
              <w:marTop w:val="0"/>
              <w:marBottom w:val="0"/>
              <w:divBdr>
                <w:top w:val="none" w:sz="0" w:space="0" w:color="auto"/>
                <w:left w:val="none" w:sz="0" w:space="0" w:color="auto"/>
                <w:bottom w:val="none" w:sz="0" w:space="0" w:color="auto"/>
                <w:right w:val="none" w:sz="0" w:space="0" w:color="auto"/>
              </w:divBdr>
              <w:divsChild>
                <w:div w:id="1020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1883">
      <w:bodyDiv w:val="1"/>
      <w:marLeft w:val="0"/>
      <w:marRight w:val="0"/>
      <w:marTop w:val="0"/>
      <w:marBottom w:val="0"/>
      <w:divBdr>
        <w:top w:val="none" w:sz="0" w:space="0" w:color="auto"/>
        <w:left w:val="none" w:sz="0" w:space="0" w:color="auto"/>
        <w:bottom w:val="none" w:sz="0" w:space="0" w:color="auto"/>
        <w:right w:val="none" w:sz="0" w:space="0" w:color="auto"/>
      </w:divBdr>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767774829">
      <w:bodyDiv w:val="1"/>
      <w:marLeft w:val="0"/>
      <w:marRight w:val="0"/>
      <w:marTop w:val="0"/>
      <w:marBottom w:val="0"/>
      <w:divBdr>
        <w:top w:val="none" w:sz="0" w:space="0" w:color="auto"/>
        <w:left w:val="none" w:sz="0" w:space="0" w:color="auto"/>
        <w:bottom w:val="none" w:sz="0" w:space="0" w:color="auto"/>
        <w:right w:val="none" w:sz="0" w:space="0" w:color="auto"/>
      </w:divBdr>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0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411">
          <w:marLeft w:val="0"/>
          <w:marRight w:val="0"/>
          <w:marTop w:val="0"/>
          <w:marBottom w:val="0"/>
          <w:divBdr>
            <w:top w:val="none" w:sz="0" w:space="0" w:color="auto"/>
            <w:left w:val="none" w:sz="0" w:space="0" w:color="auto"/>
            <w:bottom w:val="none" w:sz="0" w:space="0" w:color="auto"/>
            <w:right w:val="none" w:sz="0" w:space="0" w:color="auto"/>
          </w:divBdr>
          <w:divsChild>
            <w:div w:id="1048525966">
              <w:marLeft w:val="0"/>
              <w:marRight w:val="0"/>
              <w:marTop w:val="0"/>
              <w:marBottom w:val="0"/>
              <w:divBdr>
                <w:top w:val="none" w:sz="0" w:space="0" w:color="auto"/>
                <w:left w:val="none" w:sz="0" w:space="0" w:color="auto"/>
                <w:bottom w:val="none" w:sz="0" w:space="0" w:color="auto"/>
                <w:right w:val="none" w:sz="0" w:space="0" w:color="auto"/>
              </w:divBdr>
              <w:divsChild>
                <w:div w:id="12544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564">
      <w:bodyDiv w:val="1"/>
      <w:marLeft w:val="0"/>
      <w:marRight w:val="0"/>
      <w:marTop w:val="0"/>
      <w:marBottom w:val="0"/>
      <w:divBdr>
        <w:top w:val="none" w:sz="0" w:space="0" w:color="auto"/>
        <w:left w:val="none" w:sz="0" w:space="0" w:color="auto"/>
        <w:bottom w:val="none" w:sz="0" w:space="0" w:color="auto"/>
        <w:right w:val="none" w:sz="0" w:space="0" w:color="auto"/>
      </w:divBdr>
    </w:div>
    <w:div w:id="2052530302">
      <w:bodyDiv w:val="1"/>
      <w:marLeft w:val="0"/>
      <w:marRight w:val="0"/>
      <w:marTop w:val="0"/>
      <w:marBottom w:val="0"/>
      <w:divBdr>
        <w:top w:val="none" w:sz="0" w:space="0" w:color="auto"/>
        <w:left w:val="none" w:sz="0" w:space="0" w:color="auto"/>
        <w:bottom w:val="none" w:sz="0" w:space="0" w:color="auto"/>
        <w:right w:val="none" w:sz="0" w:space="0" w:color="auto"/>
      </w:divBdr>
    </w:div>
    <w:div w:id="2062315867">
      <w:bodyDiv w:val="1"/>
      <w:marLeft w:val="0"/>
      <w:marRight w:val="0"/>
      <w:marTop w:val="0"/>
      <w:marBottom w:val="0"/>
      <w:divBdr>
        <w:top w:val="none" w:sz="0" w:space="0" w:color="auto"/>
        <w:left w:val="none" w:sz="0" w:space="0" w:color="auto"/>
        <w:bottom w:val="none" w:sz="0" w:space="0" w:color="auto"/>
        <w:right w:val="none" w:sz="0" w:space="0" w:color="auto"/>
      </w:divBdr>
      <w:divsChild>
        <w:div w:id="37752699">
          <w:marLeft w:val="0"/>
          <w:marRight w:val="0"/>
          <w:marTop w:val="0"/>
          <w:marBottom w:val="0"/>
          <w:divBdr>
            <w:top w:val="none" w:sz="0" w:space="0" w:color="auto"/>
            <w:left w:val="none" w:sz="0" w:space="0" w:color="auto"/>
            <w:bottom w:val="none" w:sz="0" w:space="0" w:color="auto"/>
            <w:right w:val="none" w:sz="0" w:space="0" w:color="auto"/>
          </w:divBdr>
          <w:divsChild>
            <w:div w:id="103353632">
              <w:marLeft w:val="0"/>
              <w:marRight w:val="0"/>
              <w:marTop w:val="0"/>
              <w:marBottom w:val="0"/>
              <w:divBdr>
                <w:top w:val="none" w:sz="0" w:space="0" w:color="auto"/>
                <w:left w:val="none" w:sz="0" w:space="0" w:color="auto"/>
                <w:bottom w:val="none" w:sz="0" w:space="0" w:color="auto"/>
                <w:right w:val="none" w:sz="0" w:space="0" w:color="auto"/>
              </w:divBdr>
              <w:divsChild>
                <w:div w:id="827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2016-08-25-research-summit.aspx" TargetMode="External"/><Relationship Id="rId13" Type="http://schemas.openxmlformats.org/officeDocument/2006/relationships/hyperlink" Target="http://www.ahpra.gov.au/About-AHPRA/What-We-Do.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acyboard.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Contact-Us/Make-an-Enquiry.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hpr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armacyboard.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4C50-C1C4-479F-9F16-AFB8A300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1</TotalTime>
  <Pages>2</Pages>
  <Words>900</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Meeting of the Pharmacy Board of Australia</vt:lpstr>
    </vt:vector>
  </TitlesOfParts>
  <Company>Johanna Villani Design</Company>
  <LinksUpToDate>false</LinksUpToDate>
  <CharactersWithSpaces>6441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dc:title>
  <dc:subject>Communique</dc:subject>
  <dc:creator>Pharmacy Board</dc:creator>
  <cp:keywords>26 August 2016</cp:keywords>
  <cp:lastModifiedBy>Tara Johnson</cp:lastModifiedBy>
  <cp:revision>3</cp:revision>
  <cp:lastPrinted>2016-09-02T05:44:00Z</cp:lastPrinted>
  <dcterms:created xsi:type="dcterms:W3CDTF">2016-09-02T05:43:00Z</dcterms:created>
  <dcterms:modified xsi:type="dcterms:W3CDTF">2016-09-02T05:44:00Z</dcterms:modified>
</cp:coreProperties>
</file>