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714" w:rsidRPr="00461180" w:rsidRDefault="00F93F8C" w:rsidP="00192714">
      <w:pPr>
        <w:pStyle w:val="AHPRADocumenttitle"/>
      </w:pPr>
      <w:r>
        <w:t>Public c</w:t>
      </w:r>
      <w:r w:rsidR="00192714" w:rsidRPr="00461180">
        <w:t xml:space="preserve">onsultation </w:t>
      </w:r>
      <w:r w:rsidR="0058421F" w:rsidRPr="00461180">
        <w:t xml:space="preserve">on </w:t>
      </w:r>
      <w:r w:rsidR="00F65455" w:rsidRPr="00461180">
        <w:t xml:space="preserve">the </w:t>
      </w:r>
      <w:r>
        <w:t xml:space="preserve">review of guidance on expiry of compounded parenteral medicines – Pharmacy Board of Australia </w:t>
      </w:r>
      <w:r>
        <w:rPr>
          <w:i/>
        </w:rPr>
        <w:t xml:space="preserve">Guidelines on compounding of medicines </w:t>
      </w:r>
    </w:p>
    <w:p w:rsidR="00192714" w:rsidRPr="0071260D" w:rsidRDefault="00DF7CC7" w:rsidP="00192714">
      <w:pPr>
        <w:pStyle w:val="AHPRAHeadline"/>
        <w:outlineLvl w:val="0"/>
        <w:rPr>
          <w:sz w:val="20"/>
        </w:rPr>
      </w:pPr>
      <w:r>
        <w:rPr>
          <w:noProof/>
          <w:sz w:val="20"/>
          <w:lang w:val="en-AU" w:eastAsia="en-AU"/>
        </w:rPr>
        <w:pict>
          <v:shapetype id="_x0000_t32" coordsize="21600,21600" o:spt="32" o:oned="t" path="m,l21600,21600e" filled="f">
            <v:path arrowok="t" fillok="f" o:connecttype="none"/>
            <o:lock v:ext="edit" shapetype="t"/>
          </v:shapetype>
          <v:shape id="AutoShape 3" o:spid="_x0000_s1026" type="#_x0000_t32" style="position:absolute;margin-left:-55.65pt;margin-top:.15pt;width:280.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w:pict>
      </w:r>
    </w:p>
    <w:p w:rsidR="00192714" w:rsidRDefault="00235B87" w:rsidP="0071260D">
      <w:pPr>
        <w:pStyle w:val="AHPRAbodytext"/>
        <w:spacing w:before="200"/>
      </w:pPr>
      <w:r>
        <w:t>1 February 2016</w:t>
      </w:r>
    </w:p>
    <w:p w:rsidR="00192714" w:rsidRPr="00AE0BFA" w:rsidRDefault="0058421F" w:rsidP="00192714">
      <w:pPr>
        <w:pStyle w:val="AHPRADocumentsubheading"/>
      </w:pPr>
      <w:r>
        <w:t>Responses to consultation question</w:t>
      </w:r>
      <w:bookmarkStart w:id="0" w:name="_GoBack"/>
      <w:bookmarkEnd w:id="0"/>
      <w:r>
        <w:t xml:space="preserve">s </w:t>
      </w:r>
    </w:p>
    <w:p w:rsidR="00E2141B" w:rsidRPr="000D72F6" w:rsidRDefault="00E2141B" w:rsidP="00E2141B">
      <w:pPr>
        <w:pStyle w:val="AHPRAbody"/>
        <w:ind w:right="-306"/>
        <w:rPr>
          <w:rFonts w:ascii="Arial" w:hAnsi="Arial"/>
          <w:b/>
          <w:color w:val="000000" w:themeColor="text1"/>
        </w:rPr>
      </w:pPr>
      <w:r w:rsidRPr="00E2141B">
        <w:rPr>
          <w:rFonts w:ascii="Arial" w:hAnsi="Arial"/>
          <w:b/>
        </w:rPr>
        <w:t xml:space="preserve">Please provide your feedback </w:t>
      </w:r>
      <w:r w:rsidR="000A04E2">
        <w:rPr>
          <w:rFonts w:ascii="Arial" w:hAnsi="Arial"/>
          <w:b/>
          <w:bCs/>
          <w:szCs w:val="20"/>
        </w:rPr>
        <w:t>as a W</w:t>
      </w:r>
      <w:r w:rsidRPr="00E2141B">
        <w:rPr>
          <w:rFonts w:ascii="Arial" w:hAnsi="Arial"/>
          <w:b/>
          <w:bCs/>
          <w:szCs w:val="20"/>
        </w:rPr>
        <w:t>ord documen</w:t>
      </w:r>
      <w:r w:rsidR="00515FBC">
        <w:rPr>
          <w:rFonts w:ascii="Arial" w:hAnsi="Arial"/>
          <w:b/>
          <w:bCs/>
          <w:szCs w:val="20"/>
        </w:rPr>
        <w:t>t (or equivalent)</w:t>
      </w:r>
      <w:r w:rsidR="00515FBC" w:rsidRPr="009252FC">
        <w:rPr>
          <w:rStyle w:val="FootnoteReference"/>
          <w:b/>
        </w:rPr>
        <w:footnoteReference w:id="1"/>
      </w:r>
      <w:r w:rsidRPr="00E2141B">
        <w:rPr>
          <w:rFonts w:ascii="Arial" w:hAnsi="Arial"/>
          <w:b/>
          <w:bCs/>
          <w:szCs w:val="20"/>
        </w:rPr>
        <w:t xml:space="preserve"> </w:t>
      </w:r>
      <w:r w:rsidRPr="000D72F6">
        <w:rPr>
          <w:rFonts w:ascii="Arial" w:hAnsi="Arial"/>
          <w:b/>
        </w:rPr>
        <w:t xml:space="preserve">to </w:t>
      </w:r>
      <w:hyperlink r:id="rId8" w:history="1">
        <w:r w:rsidR="001D5537" w:rsidRPr="000D72F6">
          <w:rPr>
            <w:rStyle w:val="Hyperlink"/>
            <w:rFonts w:ascii="Arial" w:hAnsi="Arial"/>
            <w:b/>
            <w:lang w:val="en-US"/>
          </w:rPr>
          <w:t>pharmacyconsultation@ahpra.gov.au</w:t>
        </w:r>
      </w:hyperlink>
      <w:r w:rsidRPr="000D72F6">
        <w:rPr>
          <w:rFonts w:ascii="Arial" w:hAnsi="Arial"/>
          <w:b/>
        </w:rPr>
        <w:t xml:space="preserve"> </w:t>
      </w:r>
      <w:bookmarkStart w:id="1" w:name="_Toc320239872"/>
      <w:r w:rsidRPr="000D72F6">
        <w:rPr>
          <w:rFonts w:ascii="Arial" w:hAnsi="Arial"/>
          <w:b/>
        </w:rPr>
        <w:t xml:space="preserve">by close of business on </w:t>
      </w:r>
      <w:r w:rsidR="00235B87">
        <w:rPr>
          <w:rFonts w:ascii="Arial" w:hAnsi="Arial"/>
          <w:b/>
        </w:rPr>
        <w:t>Wednesday 30 March 2016</w:t>
      </w:r>
      <w:r w:rsidRPr="001146E1">
        <w:rPr>
          <w:rFonts w:ascii="Arial" w:hAnsi="Arial"/>
          <w:b/>
        </w:rPr>
        <w:t>.</w:t>
      </w:r>
      <w:r w:rsidRPr="000D72F6">
        <w:rPr>
          <w:rFonts w:ascii="Arial" w:hAnsi="Arial"/>
          <w:b/>
        </w:rPr>
        <w:t xml:space="preserve"> </w:t>
      </w:r>
    </w:p>
    <w:bookmarkEnd w:id="1"/>
    <w:p w:rsidR="00E2141B" w:rsidRDefault="00E2141B" w:rsidP="00E2141B">
      <w:pPr>
        <w:pStyle w:val="AHPRASubhead"/>
        <w:jc w:val="both"/>
      </w:pPr>
      <w:r w:rsidRPr="000D72F6">
        <w:t>Stakeholder Details</w:t>
      </w:r>
    </w:p>
    <w:p w:rsidR="00E2141B" w:rsidRDefault="00E2141B" w:rsidP="00E2141B">
      <w:pPr>
        <w:pStyle w:val="TableText"/>
        <w:keepNext w:val="0"/>
        <w:spacing w:before="0" w:after="0"/>
        <w:jc w:val="both"/>
        <w:rPr>
          <w:rFonts w:ascii="Arial" w:hAnsi="Arial" w:cs="Arial"/>
          <w:i/>
          <w:color w:val="auto"/>
          <w:szCs w:val="20"/>
        </w:rPr>
      </w:pPr>
      <w:r>
        <w:rPr>
          <w:rFonts w:ascii="Arial" w:hAnsi="Arial" w:cs="Arial"/>
          <w:i/>
          <w:color w:val="auto"/>
          <w:szCs w:val="20"/>
        </w:rPr>
        <w:t xml:space="preserve">If you wish to include background information about your organisation please provide this as a separate word document (not PDF). </w:t>
      </w:r>
    </w:p>
    <w:p w:rsidR="001F63F8" w:rsidRPr="00A43430" w:rsidRDefault="001F63F8" w:rsidP="001F63F8">
      <w:pPr>
        <w:pStyle w:val="TableText"/>
        <w:keepNext w:val="0"/>
        <w:spacing w:before="0" w:after="0"/>
        <w:ind w:left="142"/>
        <w:jc w:val="both"/>
        <w:rPr>
          <w:rFonts w:ascii="Arial" w:hAnsi="Arial" w:cs="Arial"/>
          <w:i/>
          <w:color w:val="auto"/>
          <w:szCs w:val="20"/>
        </w:rPr>
      </w:pPr>
    </w:p>
    <w:tbl>
      <w:tblPr>
        <w:tblStyle w:val="TableGrid"/>
        <w:tblW w:w="4907" w:type="pct"/>
        <w:tblInd w:w="108" w:type="dxa"/>
        <w:tblLook w:val="04A0" w:firstRow="1" w:lastRow="0" w:firstColumn="1" w:lastColumn="0" w:noHBand="0" w:noVBand="1"/>
      </w:tblPr>
      <w:tblGrid>
        <w:gridCol w:w="14649"/>
      </w:tblGrid>
      <w:tr w:rsidR="001F63F8" w:rsidTr="001F63F8">
        <w:tc>
          <w:tcPr>
            <w:tcW w:w="5000" w:type="pct"/>
            <w:shd w:val="clear" w:color="auto" w:fill="DAEEF3" w:themeFill="accent5" w:themeFillTint="33"/>
          </w:tcPr>
          <w:p w:rsidR="001F63F8" w:rsidRPr="00E8412E" w:rsidRDefault="001F63F8" w:rsidP="00720E57">
            <w:pPr>
              <w:pStyle w:val="TableText"/>
              <w:keepNext w:val="0"/>
              <w:jc w:val="both"/>
              <w:rPr>
                <w:rFonts w:ascii="Arial" w:hAnsi="Arial" w:cs="Arial"/>
                <w:color w:val="auto"/>
                <w:szCs w:val="20"/>
              </w:rPr>
            </w:pPr>
            <w:r>
              <w:rPr>
                <w:rFonts w:ascii="Arial" w:hAnsi="Arial" w:cs="Arial"/>
                <w:b/>
                <w:color w:val="auto"/>
                <w:szCs w:val="20"/>
              </w:rPr>
              <w:t xml:space="preserve">Organisation </w:t>
            </w:r>
            <w:r w:rsidR="00720E57">
              <w:rPr>
                <w:rFonts w:ascii="Arial" w:hAnsi="Arial" w:cs="Arial"/>
                <w:b/>
                <w:color w:val="auto"/>
                <w:szCs w:val="20"/>
              </w:rPr>
              <w:t>details</w:t>
            </w:r>
          </w:p>
        </w:tc>
      </w:tr>
      <w:tr w:rsidR="001F63F8" w:rsidTr="001F63F8">
        <w:tc>
          <w:tcPr>
            <w:tcW w:w="5000" w:type="pct"/>
          </w:tcPr>
          <w:p w:rsidR="00720E57" w:rsidRPr="00720E57" w:rsidRDefault="00720E57" w:rsidP="00720E57">
            <w:pPr>
              <w:pStyle w:val="TableText"/>
              <w:keepNext w:val="0"/>
              <w:jc w:val="both"/>
              <w:rPr>
                <w:rFonts w:ascii="Arial" w:hAnsi="Arial" w:cs="Arial"/>
                <w:b/>
                <w:color w:val="auto"/>
                <w:szCs w:val="20"/>
              </w:rPr>
            </w:pPr>
            <w:r w:rsidRPr="00720E57">
              <w:rPr>
                <w:rFonts w:ascii="Arial" w:hAnsi="Arial" w:cs="Arial"/>
                <w:b/>
                <w:color w:val="auto"/>
                <w:szCs w:val="20"/>
              </w:rPr>
              <w:t xml:space="preserve">Organisation name: </w:t>
            </w:r>
            <w:r w:rsidR="00516EF8">
              <w:rPr>
                <w:rFonts w:ascii="Arial" w:hAnsi="Arial" w:cs="Arial"/>
                <w:b/>
                <w:color w:val="auto"/>
                <w:szCs w:val="20"/>
              </w:rPr>
              <w:t>Kingsway Compounding</w:t>
            </w:r>
            <w:r w:rsidR="006D783D">
              <w:rPr>
                <w:rFonts w:ascii="Arial" w:hAnsi="Arial" w:cs="Arial"/>
                <w:b/>
                <w:color w:val="auto"/>
                <w:szCs w:val="20"/>
              </w:rPr>
              <w:t xml:space="preserve"> </w:t>
            </w:r>
            <w:r w:rsidR="006D783D" w:rsidRPr="006D783D">
              <w:rPr>
                <w:rFonts w:ascii="Arial" w:hAnsi="Arial" w:cs="Arial"/>
                <w:b/>
                <w:color w:val="auto"/>
                <w:szCs w:val="20"/>
                <w:highlight w:val="black"/>
              </w:rPr>
              <w:t>[content redacted]</w:t>
            </w:r>
          </w:p>
          <w:p w:rsidR="001F63F8" w:rsidRPr="00720E57" w:rsidRDefault="00720E57" w:rsidP="00720E57">
            <w:pPr>
              <w:pStyle w:val="TableText"/>
              <w:keepNext w:val="0"/>
              <w:jc w:val="both"/>
              <w:rPr>
                <w:rFonts w:ascii="Arial" w:hAnsi="Arial" w:cs="Arial"/>
                <w:b/>
                <w:color w:val="auto"/>
                <w:szCs w:val="20"/>
              </w:rPr>
            </w:pPr>
            <w:r w:rsidRPr="00720E57">
              <w:rPr>
                <w:rFonts w:ascii="Arial" w:hAnsi="Arial" w:cs="Arial"/>
                <w:b/>
                <w:color w:val="auto"/>
                <w:szCs w:val="20"/>
              </w:rPr>
              <w:t xml:space="preserve">Contact name: </w:t>
            </w:r>
            <w:r w:rsidR="003A7F1F">
              <w:rPr>
                <w:rFonts w:ascii="Arial" w:hAnsi="Arial" w:cs="Arial"/>
                <w:b/>
                <w:color w:val="auto"/>
                <w:szCs w:val="20"/>
              </w:rPr>
              <w:t xml:space="preserve">Karl Landers or </w:t>
            </w:r>
            <w:r w:rsidR="00516EF8">
              <w:rPr>
                <w:rFonts w:ascii="Arial" w:hAnsi="Arial" w:cs="Arial"/>
                <w:b/>
                <w:color w:val="auto"/>
                <w:szCs w:val="20"/>
              </w:rPr>
              <w:t xml:space="preserve">George </w:t>
            </w:r>
            <w:proofErr w:type="spellStart"/>
            <w:r w:rsidR="00516EF8">
              <w:rPr>
                <w:rFonts w:ascii="Arial" w:hAnsi="Arial" w:cs="Arial"/>
                <w:b/>
                <w:color w:val="auto"/>
                <w:szCs w:val="20"/>
              </w:rPr>
              <w:t>Dimaris</w:t>
            </w:r>
            <w:proofErr w:type="spellEnd"/>
            <w:r w:rsidR="00516EF8">
              <w:rPr>
                <w:rFonts w:ascii="Arial" w:hAnsi="Arial" w:cs="Arial"/>
                <w:b/>
                <w:color w:val="auto"/>
                <w:szCs w:val="20"/>
              </w:rPr>
              <w:t xml:space="preserve"> </w:t>
            </w:r>
            <w:r w:rsidR="00015761" w:rsidRPr="00015761">
              <w:rPr>
                <w:rFonts w:ascii="Arial" w:hAnsi="Arial" w:cs="Arial"/>
                <w:b/>
                <w:color w:val="auto"/>
                <w:szCs w:val="20"/>
                <w:highlight w:val="black"/>
              </w:rPr>
              <w:t>[content redacted]</w:t>
            </w:r>
          </w:p>
          <w:p w:rsidR="00720E57" w:rsidRPr="00720E57" w:rsidRDefault="00720E57" w:rsidP="00720E57">
            <w:pPr>
              <w:pStyle w:val="TableText"/>
              <w:keepNext w:val="0"/>
              <w:jc w:val="both"/>
              <w:rPr>
                <w:rFonts w:ascii="Arial" w:hAnsi="Arial" w:cs="Arial"/>
                <w:b/>
                <w:color w:val="auto"/>
                <w:szCs w:val="20"/>
              </w:rPr>
            </w:pPr>
            <w:r w:rsidRPr="00720E57">
              <w:rPr>
                <w:rFonts w:ascii="Arial" w:hAnsi="Arial" w:cs="Arial"/>
                <w:b/>
                <w:color w:val="auto"/>
                <w:szCs w:val="20"/>
              </w:rPr>
              <w:t xml:space="preserve">E-mail address: </w:t>
            </w:r>
            <w:r w:rsidR="00015761" w:rsidRPr="00015761">
              <w:rPr>
                <w:rFonts w:ascii="Arial" w:hAnsi="Arial" w:cs="Arial"/>
                <w:b/>
                <w:color w:val="auto"/>
                <w:szCs w:val="20"/>
                <w:highlight w:val="black"/>
              </w:rPr>
              <w:t>[content redacted]</w:t>
            </w:r>
          </w:p>
        </w:tc>
      </w:tr>
    </w:tbl>
    <w:p w:rsidR="00720E57" w:rsidRDefault="00720E57" w:rsidP="00720E57">
      <w:pPr>
        <w:pStyle w:val="AHPRASubhead"/>
        <w:spacing w:before="120" w:after="120"/>
      </w:pPr>
    </w:p>
    <w:p w:rsidR="00A43430" w:rsidRPr="00720E57" w:rsidRDefault="00720E57" w:rsidP="00720E57">
      <w:pPr>
        <w:spacing w:line="240" w:lineRule="auto"/>
        <w:rPr>
          <w:rFonts w:ascii="Arial" w:hAnsi="Arial"/>
          <w:b/>
          <w:color w:val="008EC4"/>
          <w:sz w:val="20"/>
          <w:szCs w:val="24"/>
          <w:lang w:val="en-US"/>
        </w:rPr>
      </w:pPr>
      <w:r>
        <w:br w:type="page"/>
      </w:r>
      <w:r w:rsidR="00547923" w:rsidRPr="00720E57">
        <w:rPr>
          <w:rFonts w:ascii="Arial" w:hAnsi="Arial"/>
          <w:b/>
          <w:color w:val="008EC4"/>
          <w:sz w:val="20"/>
          <w:szCs w:val="24"/>
          <w:lang w:val="en-US"/>
        </w:rPr>
        <w:lastRenderedPageBreak/>
        <w:t>Your r</w:t>
      </w:r>
      <w:r w:rsidR="00A43430" w:rsidRPr="00720E57">
        <w:rPr>
          <w:rFonts w:ascii="Arial" w:hAnsi="Arial"/>
          <w:b/>
          <w:color w:val="008EC4"/>
          <w:sz w:val="20"/>
          <w:szCs w:val="24"/>
          <w:lang w:val="en-US"/>
        </w:rPr>
        <w:t xml:space="preserve">esponses to consultation questions </w:t>
      </w:r>
      <w:r w:rsidR="004E13C1" w:rsidRPr="00720E57">
        <w:rPr>
          <w:rFonts w:ascii="Arial" w:hAnsi="Arial"/>
          <w:b/>
          <w:color w:val="008EC4"/>
          <w:sz w:val="20"/>
          <w:szCs w:val="24"/>
          <w:lang w:val="en-US"/>
        </w:rPr>
        <w:t xml:space="preserve">on the draft </w:t>
      </w:r>
      <w:r w:rsidR="00461180" w:rsidRPr="00720E57">
        <w:rPr>
          <w:rFonts w:ascii="Arial" w:hAnsi="Arial"/>
          <w:b/>
          <w:color w:val="008EC4"/>
          <w:sz w:val="20"/>
          <w:szCs w:val="24"/>
          <w:lang w:val="en-US"/>
        </w:rPr>
        <w:t>proposed guidance</w:t>
      </w:r>
    </w:p>
    <w:tbl>
      <w:tblPr>
        <w:tblStyle w:val="TableGrid"/>
        <w:tblW w:w="0" w:type="auto"/>
        <w:tblLook w:val="04A0" w:firstRow="1" w:lastRow="0" w:firstColumn="1" w:lastColumn="0" w:noHBand="0" w:noVBand="1"/>
      </w:tblPr>
      <w:tblGrid>
        <w:gridCol w:w="5211"/>
        <w:gridCol w:w="9498"/>
      </w:tblGrid>
      <w:tr w:rsidR="00720E57" w:rsidTr="00720E57">
        <w:tc>
          <w:tcPr>
            <w:tcW w:w="5211" w:type="dxa"/>
          </w:tcPr>
          <w:p w:rsidR="00720E57" w:rsidRPr="00720E57" w:rsidRDefault="00720E57" w:rsidP="00720E57">
            <w:pPr>
              <w:pStyle w:val="AHPRASubhead"/>
              <w:numPr>
                <w:ilvl w:val="0"/>
                <w:numId w:val="11"/>
              </w:numPr>
              <w:spacing w:before="120" w:after="120"/>
              <w:rPr>
                <w:color w:val="000000" w:themeColor="text1"/>
              </w:rPr>
            </w:pPr>
            <w:r w:rsidRPr="00720E57">
              <w:rPr>
                <w:rFonts w:cs="Arial"/>
                <w:color w:val="000000" w:themeColor="text1"/>
                <w:szCs w:val="20"/>
              </w:rPr>
              <w:t>Has the proposed guidance been expressed clearly?</w:t>
            </w:r>
          </w:p>
        </w:tc>
        <w:tc>
          <w:tcPr>
            <w:tcW w:w="9498" w:type="dxa"/>
          </w:tcPr>
          <w:p w:rsidR="00720E57" w:rsidRDefault="00516EF8" w:rsidP="00720E57">
            <w:pPr>
              <w:pStyle w:val="AHPRASubhead"/>
              <w:spacing w:before="120" w:after="120"/>
              <w:rPr>
                <w:b w:val="0"/>
                <w:color w:val="000000" w:themeColor="text1"/>
              </w:rPr>
            </w:pPr>
            <w:r>
              <w:rPr>
                <w:b w:val="0"/>
                <w:color w:val="000000" w:themeColor="text1"/>
              </w:rPr>
              <w:t>Mostly, but please see comments below.</w:t>
            </w:r>
          </w:p>
          <w:p w:rsidR="00720E57" w:rsidRDefault="00720E57" w:rsidP="00720E57">
            <w:pPr>
              <w:pStyle w:val="AHPRASubhead"/>
              <w:spacing w:before="120" w:after="120"/>
              <w:rPr>
                <w:b w:val="0"/>
                <w:color w:val="000000" w:themeColor="text1"/>
              </w:rPr>
            </w:pPr>
          </w:p>
          <w:p w:rsidR="00720E57" w:rsidRPr="00720E57" w:rsidRDefault="00720E57" w:rsidP="00720E57">
            <w:pPr>
              <w:pStyle w:val="AHPRASubhead"/>
              <w:spacing w:before="120" w:after="120"/>
              <w:rPr>
                <w:b w:val="0"/>
                <w:color w:val="000000" w:themeColor="text1"/>
              </w:rPr>
            </w:pPr>
          </w:p>
        </w:tc>
      </w:tr>
      <w:tr w:rsidR="00720E57" w:rsidTr="00720E57">
        <w:tc>
          <w:tcPr>
            <w:tcW w:w="5211" w:type="dxa"/>
          </w:tcPr>
          <w:p w:rsidR="00F93F8C" w:rsidRPr="00F93F8C" w:rsidRDefault="00F93F8C" w:rsidP="00F93F8C">
            <w:pPr>
              <w:pStyle w:val="AHPRASubhead"/>
              <w:numPr>
                <w:ilvl w:val="0"/>
                <w:numId w:val="11"/>
              </w:numPr>
              <w:spacing w:before="120" w:after="120"/>
              <w:rPr>
                <w:rFonts w:cs="Arial"/>
                <w:color w:val="000000" w:themeColor="text1"/>
                <w:szCs w:val="20"/>
              </w:rPr>
            </w:pPr>
            <w:r w:rsidRPr="00F93F8C">
              <w:rPr>
                <w:rFonts w:cs="Arial"/>
                <w:color w:val="000000" w:themeColor="text1"/>
                <w:szCs w:val="20"/>
              </w:rPr>
              <w:t>Does the revised guidance adequately address the concerns raised by stakeholders, that the published (postponed) guidance would inhibit or impact patient access to compounded parenteral medicines?</w:t>
            </w:r>
          </w:p>
          <w:p w:rsidR="00720E57" w:rsidRPr="00F93F8C" w:rsidRDefault="00720E57" w:rsidP="00F93F8C">
            <w:pPr>
              <w:pStyle w:val="AHPRASubhead"/>
              <w:spacing w:before="120" w:after="120"/>
              <w:ind w:left="360"/>
              <w:rPr>
                <w:rFonts w:cs="Arial"/>
                <w:color w:val="000000" w:themeColor="text1"/>
                <w:szCs w:val="20"/>
              </w:rPr>
            </w:pPr>
          </w:p>
        </w:tc>
        <w:tc>
          <w:tcPr>
            <w:tcW w:w="9498" w:type="dxa"/>
          </w:tcPr>
          <w:p w:rsidR="00720E57" w:rsidRDefault="00516EF8" w:rsidP="00720E57">
            <w:pPr>
              <w:pStyle w:val="AHPRASubhead"/>
              <w:spacing w:before="120" w:after="120"/>
              <w:rPr>
                <w:b w:val="0"/>
                <w:color w:val="000000" w:themeColor="text1"/>
              </w:rPr>
            </w:pPr>
            <w:r>
              <w:rPr>
                <w:b w:val="0"/>
                <w:color w:val="000000" w:themeColor="text1"/>
              </w:rPr>
              <w:t>Yes- they have been addressed.</w:t>
            </w:r>
          </w:p>
          <w:p w:rsidR="00720E57" w:rsidRDefault="00720E57" w:rsidP="00720E57">
            <w:pPr>
              <w:pStyle w:val="AHPRASubhead"/>
              <w:spacing w:before="120" w:after="120"/>
              <w:rPr>
                <w:b w:val="0"/>
                <w:color w:val="000000" w:themeColor="text1"/>
              </w:rPr>
            </w:pPr>
          </w:p>
          <w:p w:rsidR="00720E57" w:rsidRPr="00720E57" w:rsidRDefault="00720E57" w:rsidP="00720E57">
            <w:pPr>
              <w:pStyle w:val="AHPRASubhead"/>
              <w:spacing w:before="120" w:after="120"/>
              <w:rPr>
                <w:b w:val="0"/>
                <w:color w:val="000000" w:themeColor="text1"/>
              </w:rPr>
            </w:pPr>
          </w:p>
        </w:tc>
      </w:tr>
      <w:tr w:rsidR="00720E57" w:rsidTr="00720E57">
        <w:tc>
          <w:tcPr>
            <w:tcW w:w="5211" w:type="dxa"/>
          </w:tcPr>
          <w:p w:rsidR="00F93F8C" w:rsidRPr="00F93F8C" w:rsidRDefault="00F93F8C" w:rsidP="00F93F8C">
            <w:pPr>
              <w:pStyle w:val="AHPRASubhead"/>
              <w:numPr>
                <w:ilvl w:val="0"/>
                <w:numId w:val="11"/>
              </w:numPr>
              <w:spacing w:before="120" w:after="120"/>
              <w:rPr>
                <w:rFonts w:cs="Arial"/>
                <w:color w:val="000000" w:themeColor="text1"/>
                <w:szCs w:val="20"/>
              </w:rPr>
            </w:pPr>
            <w:r w:rsidRPr="00F93F8C">
              <w:rPr>
                <w:rFonts w:cs="Arial"/>
                <w:color w:val="000000" w:themeColor="text1"/>
                <w:szCs w:val="20"/>
              </w:rPr>
              <w:t>Does the revised guidance support patient safety when supplying compounded parenteral (sterile injectable) medicines?</w:t>
            </w:r>
          </w:p>
          <w:p w:rsidR="00720E57" w:rsidRPr="00F93F8C" w:rsidRDefault="00720E57" w:rsidP="00F93F8C">
            <w:pPr>
              <w:pStyle w:val="AHPRASubhead"/>
              <w:spacing w:before="120" w:after="120"/>
              <w:ind w:left="360"/>
              <w:rPr>
                <w:rFonts w:cs="Arial"/>
                <w:color w:val="000000" w:themeColor="text1"/>
                <w:szCs w:val="20"/>
              </w:rPr>
            </w:pPr>
          </w:p>
        </w:tc>
        <w:tc>
          <w:tcPr>
            <w:tcW w:w="9498" w:type="dxa"/>
          </w:tcPr>
          <w:p w:rsidR="00720E57" w:rsidRDefault="00485DEA" w:rsidP="00720E57">
            <w:pPr>
              <w:pStyle w:val="AHPRASubhead"/>
              <w:spacing w:before="120" w:after="120"/>
              <w:rPr>
                <w:b w:val="0"/>
                <w:color w:val="000000" w:themeColor="text1"/>
              </w:rPr>
            </w:pPr>
            <w:r>
              <w:rPr>
                <w:b w:val="0"/>
                <w:color w:val="000000" w:themeColor="text1"/>
              </w:rPr>
              <w:t>Yes- revised guidance supports patient safety.</w:t>
            </w:r>
          </w:p>
          <w:p w:rsidR="00720E57" w:rsidRDefault="00720E57" w:rsidP="00720E57">
            <w:pPr>
              <w:pStyle w:val="AHPRASubhead"/>
              <w:spacing w:before="120" w:after="120"/>
              <w:rPr>
                <w:b w:val="0"/>
                <w:color w:val="000000" w:themeColor="text1"/>
              </w:rPr>
            </w:pPr>
          </w:p>
          <w:p w:rsidR="00720E57" w:rsidRPr="00720E57" w:rsidRDefault="00720E57" w:rsidP="00720E57">
            <w:pPr>
              <w:pStyle w:val="AHPRASubhead"/>
              <w:spacing w:before="120" w:after="120"/>
              <w:rPr>
                <w:b w:val="0"/>
                <w:color w:val="000000" w:themeColor="text1"/>
              </w:rPr>
            </w:pPr>
          </w:p>
        </w:tc>
      </w:tr>
      <w:tr w:rsidR="00720E57" w:rsidTr="00720E57">
        <w:tc>
          <w:tcPr>
            <w:tcW w:w="5211" w:type="dxa"/>
          </w:tcPr>
          <w:p w:rsidR="00F93F8C" w:rsidRPr="00F93F8C" w:rsidRDefault="00F93F8C" w:rsidP="00F93F8C">
            <w:pPr>
              <w:pStyle w:val="AHPRASubhead"/>
              <w:numPr>
                <w:ilvl w:val="0"/>
                <w:numId w:val="11"/>
              </w:numPr>
              <w:spacing w:before="120" w:after="120"/>
              <w:rPr>
                <w:rFonts w:cs="Arial"/>
                <w:color w:val="000000" w:themeColor="text1"/>
                <w:szCs w:val="20"/>
              </w:rPr>
            </w:pPr>
            <w:r w:rsidRPr="00F93F8C">
              <w:rPr>
                <w:rFonts w:cs="Arial"/>
                <w:color w:val="000000" w:themeColor="text1"/>
                <w:szCs w:val="20"/>
              </w:rPr>
              <w:t>Do you have any suggestions for questions to be included in the Board’s FAQ for pharmacists on the compounding of medicines, to support pharmacists in their understanding and application of this guidance?</w:t>
            </w:r>
          </w:p>
          <w:p w:rsidR="00720E57" w:rsidRPr="00F93F8C" w:rsidRDefault="00720E57" w:rsidP="00F93F8C">
            <w:pPr>
              <w:pStyle w:val="AHPRASubhead"/>
              <w:spacing w:before="120" w:after="120"/>
              <w:ind w:left="360"/>
              <w:rPr>
                <w:rFonts w:cs="Arial"/>
                <w:color w:val="000000" w:themeColor="text1"/>
                <w:szCs w:val="20"/>
              </w:rPr>
            </w:pPr>
          </w:p>
        </w:tc>
        <w:tc>
          <w:tcPr>
            <w:tcW w:w="9498" w:type="dxa"/>
          </w:tcPr>
          <w:p w:rsidR="00720E57" w:rsidRDefault="00516EF8" w:rsidP="00720E57">
            <w:pPr>
              <w:pStyle w:val="AHPRASubhead"/>
              <w:spacing w:before="120" w:after="120"/>
              <w:rPr>
                <w:b w:val="0"/>
                <w:color w:val="000000" w:themeColor="text1"/>
              </w:rPr>
            </w:pPr>
            <w:r>
              <w:rPr>
                <w:b w:val="0"/>
                <w:color w:val="000000" w:themeColor="text1"/>
              </w:rPr>
              <w:t>Yes-please see below and answers to question 5.</w:t>
            </w:r>
          </w:p>
          <w:p w:rsidR="00516EF8" w:rsidRDefault="00516EF8" w:rsidP="00516EF8">
            <w:pPr>
              <w:pStyle w:val="AHPRASubhead"/>
              <w:numPr>
                <w:ilvl w:val="0"/>
                <w:numId w:val="12"/>
              </w:numPr>
              <w:spacing w:before="120" w:after="120"/>
              <w:rPr>
                <w:b w:val="0"/>
                <w:color w:val="000000" w:themeColor="text1"/>
              </w:rPr>
            </w:pPr>
            <w:r>
              <w:rPr>
                <w:b w:val="0"/>
                <w:color w:val="000000" w:themeColor="text1"/>
              </w:rPr>
              <w:t>How long will Compounding Pharmacists have to implement these changes?</w:t>
            </w:r>
          </w:p>
          <w:p w:rsidR="00516EF8" w:rsidRDefault="00516EF8" w:rsidP="00516EF8">
            <w:pPr>
              <w:pStyle w:val="AHPRASubhead"/>
              <w:numPr>
                <w:ilvl w:val="0"/>
                <w:numId w:val="12"/>
              </w:numPr>
              <w:spacing w:before="120" w:after="120"/>
              <w:rPr>
                <w:b w:val="0"/>
                <w:color w:val="000000" w:themeColor="text1"/>
              </w:rPr>
            </w:pPr>
            <w:r>
              <w:rPr>
                <w:b w:val="0"/>
                <w:color w:val="000000" w:themeColor="text1"/>
              </w:rPr>
              <w:t>How will the self-audit</w:t>
            </w:r>
            <w:r w:rsidR="00135815">
              <w:rPr>
                <w:b w:val="0"/>
                <w:color w:val="000000" w:themeColor="text1"/>
              </w:rPr>
              <w:t xml:space="preserve"> work? Will the Board make a template </w:t>
            </w:r>
            <w:r>
              <w:rPr>
                <w:b w:val="0"/>
                <w:color w:val="000000" w:themeColor="text1"/>
              </w:rPr>
              <w:t>available to us</w:t>
            </w:r>
            <w:r w:rsidR="00135815">
              <w:rPr>
                <w:b w:val="0"/>
                <w:color w:val="000000" w:themeColor="text1"/>
              </w:rPr>
              <w:t xml:space="preserve"> or will we use the USP 797 appendices as a reference? Does the PSA Professional Practice Standard number 11 have any relevance here?</w:t>
            </w:r>
          </w:p>
          <w:p w:rsidR="00135815" w:rsidRDefault="00135815" w:rsidP="00516EF8">
            <w:pPr>
              <w:pStyle w:val="AHPRASubhead"/>
              <w:numPr>
                <w:ilvl w:val="0"/>
                <w:numId w:val="12"/>
              </w:numPr>
              <w:spacing w:before="120" w:after="120"/>
              <w:rPr>
                <w:b w:val="0"/>
                <w:color w:val="000000" w:themeColor="text1"/>
              </w:rPr>
            </w:pPr>
            <w:r>
              <w:rPr>
                <w:b w:val="0"/>
                <w:color w:val="000000" w:themeColor="text1"/>
              </w:rPr>
              <w:t>For Section 4 of the proposed guidance, will the Board provide any training or conduct any seminars regarding USP 797 or PIC/S?</w:t>
            </w:r>
          </w:p>
          <w:p w:rsidR="00135815" w:rsidRDefault="00135815" w:rsidP="00516EF8">
            <w:pPr>
              <w:pStyle w:val="AHPRASubhead"/>
              <w:numPr>
                <w:ilvl w:val="0"/>
                <w:numId w:val="12"/>
              </w:numPr>
              <w:spacing w:before="120" w:after="120"/>
              <w:rPr>
                <w:b w:val="0"/>
                <w:color w:val="000000" w:themeColor="text1"/>
              </w:rPr>
            </w:pPr>
            <w:r>
              <w:rPr>
                <w:b w:val="0"/>
                <w:color w:val="000000" w:themeColor="text1"/>
              </w:rPr>
              <w:t>For Section 5 of the proposed guidance- there is a reference to “</w:t>
            </w:r>
            <w:proofErr w:type="spellStart"/>
            <w:r>
              <w:rPr>
                <w:b w:val="0"/>
                <w:color w:val="000000" w:themeColor="text1"/>
              </w:rPr>
              <w:t>authorised</w:t>
            </w:r>
            <w:proofErr w:type="spellEnd"/>
            <w:r>
              <w:rPr>
                <w:b w:val="0"/>
                <w:color w:val="000000" w:themeColor="text1"/>
              </w:rPr>
              <w:t xml:space="preserve"> entities audit compliance in some jurisdictions” in the self-assessment section. Could you please clarify who the </w:t>
            </w:r>
            <w:proofErr w:type="spellStart"/>
            <w:r>
              <w:rPr>
                <w:b w:val="0"/>
                <w:color w:val="000000" w:themeColor="text1"/>
              </w:rPr>
              <w:t>authorised</w:t>
            </w:r>
            <w:proofErr w:type="spellEnd"/>
            <w:r>
              <w:rPr>
                <w:b w:val="0"/>
                <w:color w:val="000000" w:themeColor="text1"/>
              </w:rPr>
              <w:t xml:space="preserve"> entities will be? And would these entities be the same for pharmacies following USP 797 and those following the PIC/S?</w:t>
            </w:r>
          </w:p>
          <w:p w:rsidR="003A7F1F" w:rsidRDefault="003A7F1F" w:rsidP="003A7F1F">
            <w:pPr>
              <w:pStyle w:val="AHPRASubhead"/>
              <w:spacing w:before="120" w:after="120"/>
              <w:ind w:left="720"/>
              <w:rPr>
                <w:b w:val="0"/>
                <w:color w:val="000000" w:themeColor="text1"/>
              </w:rPr>
            </w:pPr>
            <w:r>
              <w:rPr>
                <w:b w:val="0"/>
                <w:color w:val="000000" w:themeColor="text1"/>
              </w:rPr>
              <w:t>Would those pharmacies adopting USP 797 be audited by the TGA, who have no jurisdiction in community pharmacy? Would the auditor be appointed by the Pharmacy Board? And would the auditor understand compounding and specifically USP 797?</w:t>
            </w:r>
          </w:p>
          <w:p w:rsidR="003A7F1F" w:rsidRDefault="003A7F1F" w:rsidP="003A7F1F">
            <w:pPr>
              <w:pStyle w:val="AHPRASubhead"/>
              <w:spacing w:before="120" w:after="120"/>
              <w:ind w:left="720"/>
              <w:rPr>
                <w:b w:val="0"/>
                <w:color w:val="000000" w:themeColor="text1"/>
              </w:rPr>
            </w:pPr>
          </w:p>
          <w:p w:rsidR="003A7F1F" w:rsidRDefault="003A7F1F" w:rsidP="003A7F1F">
            <w:pPr>
              <w:pStyle w:val="AHPRASubhead"/>
              <w:spacing w:before="120" w:after="120"/>
              <w:ind w:left="720"/>
              <w:rPr>
                <w:b w:val="0"/>
                <w:color w:val="000000" w:themeColor="text1"/>
              </w:rPr>
            </w:pPr>
            <w:r>
              <w:rPr>
                <w:b w:val="0"/>
                <w:color w:val="000000" w:themeColor="text1"/>
              </w:rPr>
              <w:t>There is no formal training or teaching of USP guidelines in Australia in the course of normal pharmacy training, and the latest APF has no formulations for compounded parenteral preparations.</w:t>
            </w:r>
          </w:p>
          <w:p w:rsidR="003A7F1F" w:rsidRDefault="003A7F1F" w:rsidP="003A7F1F">
            <w:pPr>
              <w:pStyle w:val="AHPRASubhead"/>
              <w:spacing w:before="120" w:after="120"/>
              <w:ind w:left="720"/>
              <w:rPr>
                <w:b w:val="0"/>
                <w:color w:val="000000" w:themeColor="text1"/>
              </w:rPr>
            </w:pPr>
            <w:r>
              <w:rPr>
                <w:b w:val="0"/>
                <w:color w:val="000000" w:themeColor="text1"/>
              </w:rPr>
              <w:t>We need to ensure that the person(s) auditing us will be auditing us on USP 797 only and not treating us as manufacturers- this is only fair.</w:t>
            </w:r>
          </w:p>
          <w:p w:rsidR="003A7F1F" w:rsidRDefault="003A7F1F" w:rsidP="003A7F1F">
            <w:pPr>
              <w:pStyle w:val="AHPRASubhead"/>
              <w:spacing w:before="120" w:after="120"/>
              <w:ind w:left="720"/>
              <w:rPr>
                <w:b w:val="0"/>
                <w:color w:val="000000" w:themeColor="text1"/>
              </w:rPr>
            </w:pPr>
          </w:p>
          <w:p w:rsidR="003A7F1F" w:rsidRPr="003A7F1F" w:rsidRDefault="003A7F1F" w:rsidP="003A7F1F">
            <w:pPr>
              <w:pStyle w:val="AHPRASubhead"/>
              <w:spacing w:before="120" w:after="120"/>
              <w:ind w:left="360"/>
              <w:rPr>
                <w:b w:val="0"/>
                <w:i/>
                <w:color w:val="000000" w:themeColor="text1"/>
              </w:rPr>
            </w:pPr>
          </w:p>
          <w:p w:rsidR="00720E57" w:rsidRDefault="00720E57" w:rsidP="00720E57">
            <w:pPr>
              <w:pStyle w:val="AHPRASubhead"/>
              <w:spacing w:before="120" w:after="120"/>
              <w:rPr>
                <w:b w:val="0"/>
                <w:color w:val="000000" w:themeColor="text1"/>
              </w:rPr>
            </w:pPr>
          </w:p>
          <w:p w:rsidR="00720E57" w:rsidRPr="00720E57" w:rsidRDefault="00720E57" w:rsidP="00720E57">
            <w:pPr>
              <w:pStyle w:val="AHPRASubhead"/>
              <w:spacing w:before="120" w:after="120"/>
              <w:rPr>
                <w:b w:val="0"/>
                <w:color w:val="000000" w:themeColor="text1"/>
              </w:rPr>
            </w:pPr>
          </w:p>
        </w:tc>
      </w:tr>
      <w:tr w:rsidR="00720E57" w:rsidTr="00720E57">
        <w:tc>
          <w:tcPr>
            <w:tcW w:w="5211" w:type="dxa"/>
          </w:tcPr>
          <w:p w:rsidR="00F93F8C" w:rsidRPr="00F93F8C" w:rsidRDefault="00F93F8C" w:rsidP="00F93F8C">
            <w:pPr>
              <w:pStyle w:val="AHPRASubhead"/>
              <w:numPr>
                <w:ilvl w:val="0"/>
                <w:numId w:val="11"/>
              </w:numPr>
              <w:spacing w:before="120" w:after="120"/>
              <w:rPr>
                <w:rFonts w:cs="Arial"/>
                <w:color w:val="000000" w:themeColor="text1"/>
                <w:szCs w:val="20"/>
              </w:rPr>
            </w:pPr>
            <w:r w:rsidRPr="00F93F8C">
              <w:rPr>
                <w:rFonts w:cs="Arial"/>
                <w:color w:val="000000" w:themeColor="text1"/>
                <w:szCs w:val="20"/>
              </w:rPr>
              <w:lastRenderedPageBreak/>
              <w:t>Do you have any suggestions on how the proposed guidance could be improved (e.g. any content that should be changed, added or deleted), while still being in accordance with the public interest?</w:t>
            </w:r>
          </w:p>
          <w:p w:rsidR="00720E57" w:rsidRPr="00F93F8C" w:rsidRDefault="00720E57" w:rsidP="00F93F8C">
            <w:pPr>
              <w:pStyle w:val="AHPRASubhead"/>
              <w:spacing w:before="120" w:after="120"/>
              <w:ind w:left="360"/>
              <w:rPr>
                <w:rFonts w:cs="Arial"/>
                <w:color w:val="000000" w:themeColor="text1"/>
                <w:szCs w:val="20"/>
              </w:rPr>
            </w:pPr>
          </w:p>
        </w:tc>
        <w:tc>
          <w:tcPr>
            <w:tcW w:w="9498" w:type="dxa"/>
          </w:tcPr>
          <w:p w:rsidR="00720E57" w:rsidRDefault="00720E57" w:rsidP="00720E57">
            <w:pPr>
              <w:pStyle w:val="AHPRASubhead"/>
              <w:spacing w:before="120" w:after="120"/>
              <w:rPr>
                <w:b w:val="0"/>
                <w:color w:val="000000" w:themeColor="text1"/>
              </w:rPr>
            </w:pPr>
          </w:p>
          <w:p w:rsidR="00720E57" w:rsidRDefault="003A7F1F" w:rsidP="00BF36AB">
            <w:pPr>
              <w:pStyle w:val="AHPRASubhead"/>
              <w:numPr>
                <w:ilvl w:val="0"/>
                <w:numId w:val="13"/>
              </w:numPr>
              <w:spacing w:before="120" w:after="120"/>
              <w:rPr>
                <w:b w:val="0"/>
                <w:color w:val="000000" w:themeColor="text1"/>
              </w:rPr>
            </w:pPr>
            <w:r>
              <w:rPr>
                <w:b w:val="0"/>
                <w:color w:val="000000" w:themeColor="text1"/>
              </w:rPr>
              <w:t>Our suggestion is that Pharmacists who compound parenteral preparations be given ample time for the implementation of this document</w:t>
            </w:r>
            <w:r w:rsidR="00BF36AB">
              <w:rPr>
                <w:b w:val="0"/>
                <w:color w:val="000000" w:themeColor="text1"/>
              </w:rPr>
              <w:t>. We would like to suggest implementation within 36 months.</w:t>
            </w:r>
          </w:p>
          <w:p w:rsidR="00BF36AB" w:rsidRDefault="00BF36AB" w:rsidP="00BF36AB">
            <w:pPr>
              <w:pStyle w:val="AHPRASubhead"/>
              <w:numPr>
                <w:ilvl w:val="0"/>
                <w:numId w:val="13"/>
              </w:numPr>
              <w:spacing w:before="120" w:after="120"/>
              <w:rPr>
                <w:b w:val="0"/>
                <w:color w:val="000000" w:themeColor="text1"/>
              </w:rPr>
            </w:pPr>
            <w:r>
              <w:rPr>
                <w:b w:val="0"/>
                <w:color w:val="000000" w:themeColor="text1"/>
              </w:rPr>
              <w:t>We suggest that the Board provide a Self-Audit template for pharmacists to use, so everybody is on the same page, so to speak.</w:t>
            </w:r>
          </w:p>
          <w:p w:rsidR="00BF36AB" w:rsidRDefault="00BF36AB" w:rsidP="00BF36AB">
            <w:pPr>
              <w:pStyle w:val="AHPRASubhead"/>
              <w:numPr>
                <w:ilvl w:val="0"/>
                <w:numId w:val="13"/>
              </w:numPr>
              <w:spacing w:before="120" w:after="120"/>
              <w:rPr>
                <w:b w:val="0"/>
                <w:color w:val="000000" w:themeColor="text1"/>
              </w:rPr>
            </w:pPr>
            <w:r>
              <w:rPr>
                <w:b w:val="0"/>
                <w:color w:val="000000" w:themeColor="text1"/>
              </w:rPr>
              <w:t xml:space="preserve">For patients requiring daily injections of a certain product, pharmacists may need to provide a few week’s supply of a product. If the pharmacist can supply sterility and stability testing data, will this be allowable under the new guidelines? </w:t>
            </w:r>
          </w:p>
          <w:p w:rsidR="00BF36AB" w:rsidRDefault="00BF36AB" w:rsidP="00BF36AB">
            <w:pPr>
              <w:pStyle w:val="AHPRASubhead"/>
              <w:spacing w:before="120" w:after="120"/>
              <w:ind w:left="720"/>
              <w:rPr>
                <w:b w:val="0"/>
                <w:color w:val="000000" w:themeColor="text1"/>
              </w:rPr>
            </w:pPr>
            <w:r>
              <w:rPr>
                <w:b w:val="0"/>
                <w:color w:val="000000" w:themeColor="text1"/>
              </w:rPr>
              <w:t>This could have implications in terms of accessibility of particular medicines for patients.</w:t>
            </w:r>
          </w:p>
          <w:p w:rsidR="00720E57" w:rsidRPr="00720E57" w:rsidRDefault="00720E57" w:rsidP="00720E57">
            <w:pPr>
              <w:pStyle w:val="AHPRASubhead"/>
              <w:spacing w:before="120" w:after="120"/>
              <w:rPr>
                <w:b w:val="0"/>
                <w:color w:val="000000" w:themeColor="text1"/>
              </w:rPr>
            </w:pPr>
          </w:p>
        </w:tc>
      </w:tr>
      <w:tr w:rsidR="00720E57" w:rsidTr="00720E57">
        <w:tc>
          <w:tcPr>
            <w:tcW w:w="5211" w:type="dxa"/>
          </w:tcPr>
          <w:p w:rsidR="00720E57" w:rsidRPr="00F93F8C" w:rsidRDefault="00720E57" w:rsidP="00720E57">
            <w:pPr>
              <w:pStyle w:val="AHPRASubhead"/>
              <w:numPr>
                <w:ilvl w:val="0"/>
                <w:numId w:val="11"/>
              </w:numPr>
              <w:spacing w:before="120" w:after="120"/>
              <w:rPr>
                <w:rFonts w:cs="Arial"/>
                <w:color w:val="000000" w:themeColor="text1"/>
                <w:szCs w:val="20"/>
              </w:rPr>
            </w:pPr>
            <w:r w:rsidRPr="00720E57">
              <w:rPr>
                <w:rFonts w:cs="Arial"/>
                <w:color w:val="000000" w:themeColor="text1"/>
                <w:szCs w:val="20"/>
              </w:rPr>
              <w:t>Do you have any other comments on the proposed guidance?</w:t>
            </w:r>
          </w:p>
        </w:tc>
        <w:tc>
          <w:tcPr>
            <w:tcW w:w="9498" w:type="dxa"/>
          </w:tcPr>
          <w:p w:rsidR="00720E57" w:rsidRDefault="00BF36AB" w:rsidP="00720E57">
            <w:pPr>
              <w:pStyle w:val="AHPRASubhead"/>
              <w:spacing w:before="120" w:after="120"/>
              <w:rPr>
                <w:b w:val="0"/>
                <w:color w:val="000000" w:themeColor="text1"/>
              </w:rPr>
            </w:pPr>
            <w:r>
              <w:rPr>
                <w:b w:val="0"/>
                <w:color w:val="000000" w:themeColor="text1"/>
              </w:rPr>
              <w:t>When does the Board envisage that this guidance document will be released?</w:t>
            </w:r>
          </w:p>
          <w:p w:rsidR="00720E57" w:rsidRDefault="00720E57" w:rsidP="00720E57">
            <w:pPr>
              <w:pStyle w:val="AHPRASubhead"/>
              <w:spacing w:before="120" w:after="120"/>
              <w:rPr>
                <w:b w:val="0"/>
                <w:color w:val="000000" w:themeColor="text1"/>
              </w:rPr>
            </w:pPr>
          </w:p>
          <w:p w:rsidR="00720E57" w:rsidRPr="00720E57" w:rsidRDefault="00720E57" w:rsidP="00720E57">
            <w:pPr>
              <w:pStyle w:val="AHPRASubhead"/>
              <w:spacing w:before="120" w:after="120"/>
              <w:rPr>
                <w:b w:val="0"/>
                <w:color w:val="000000" w:themeColor="text1"/>
              </w:rPr>
            </w:pPr>
          </w:p>
        </w:tc>
      </w:tr>
    </w:tbl>
    <w:p w:rsidR="00D500CB" w:rsidRPr="00720E57" w:rsidRDefault="000A04E2" w:rsidP="00720E57">
      <w:pPr>
        <w:pStyle w:val="TableText"/>
        <w:keepNext w:val="0"/>
        <w:ind w:left="142"/>
        <w:rPr>
          <w:rFonts w:ascii="Arial" w:hAnsi="Arial"/>
          <w:b/>
        </w:rPr>
      </w:pPr>
      <w:r w:rsidRPr="00E2141B">
        <w:rPr>
          <w:rFonts w:ascii="Arial" w:hAnsi="Arial"/>
          <w:b/>
        </w:rPr>
        <w:t xml:space="preserve">Please provide your feedback </w:t>
      </w:r>
      <w:r>
        <w:rPr>
          <w:rFonts w:ascii="Arial" w:hAnsi="Arial"/>
          <w:b/>
          <w:bCs/>
          <w:szCs w:val="20"/>
        </w:rPr>
        <w:t>as a W</w:t>
      </w:r>
      <w:r w:rsidRPr="00E2141B">
        <w:rPr>
          <w:rFonts w:ascii="Arial" w:hAnsi="Arial"/>
          <w:b/>
          <w:bCs/>
          <w:szCs w:val="20"/>
        </w:rPr>
        <w:t xml:space="preserve">ord </w:t>
      </w:r>
      <w:r w:rsidRPr="000D72F6">
        <w:rPr>
          <w:rFonts w:ascii="Arial" w:hAnsi="Arial"/>
          <w:b/>
          <w:bCs/>
          <w:szCs w:val="20"/>
        </w:rPr>
        <w:t>document (</w:t>
      </w:r>
      <w:r w:rsidR="00D500CB">
        <w:rPr>
          <w:rFonts w:ascii="Arial" w:hAnsi="Arial"/>
          <w:b/>
          <w:bCs/>
          <w:szCs w:val="20"/>
        </w:rPr>
        <w:t>or equivalent</w:t>
      </w:r>
      <w:r w:rsidRPr="000D72F6">
        <w:rPr>
          <w:rFonts w:ascii="Arial" w:hAnsi="Arial"/>
          <w:b/>
          <w:bCs/>
          <w:szCs w:val="20"/>
        </w:rPr>
        <w:t xml:space="preserve">) </w:t>
      </w:r>
      <w:r w:rsidRPr="000D72F6">
        <w:rPr>
          <w:rFonts w:ascii="Arial" w:hAnsi="Arial"/>
          <w:b/>
        </w:rPr>
        <w:t xml:space="preserve">to </w:t>
      </w:r>
      <w:hyperlink r:id="rId9" w:history="1">
        <w:r w:rsidR="001D5537" w:rsidRPr="000D72F6">
          <w:rPr>
            <w:rStyle w:val="Hyperlink"/>
            <w:rFonts w:ascii="Arial" w:hAnsi="Arial" w:cs="Arial"/>
            <w:b/>
          </w:rPr>
          <w:t>pharmacyconsultation@ahpra.gov.au</w:t>
        </w:r>
      </w:hyperlink>
      <w:r w:rsidRPr="000D72F6">
        <w:rPr>
          <w:rFonts w:ascii="Arial" w:hAnsi="Arial"/>
          <w:b/>
        </w:rPr>
        <w:t xml:space="preserve"> by close of business on </w:t>
      </w:r>
      <w:r w:rsidR="005A75F0">
        <w:rPr>
          <w:rFonts w:ascii="Arial" w:hAnsi="Arial"/>
          <w:b/>
        </w:rPr>
        <w:t xml:space="preserve">Wednesday 30 March </w:t>
      </w:r>
      <w:r w:rsidR="00461180" w:rsidRPr="001146E1">
        <w:rPr>
          <w:rFonts w:ascii="Arial" w:hAnsi="Arial"/>
          <w:b/>
        </w:rPr>
        <w:t>201</w:t>
      </w:r>
      <w:r w:rsidR="005A75F0">
        <w:rPr>
          <w:rFonts w:ascii="Arial" w:hAnsi="Arial"/>
          <w:b/>
        </w:rPr>
        <w:t>6</w:t>
      </w:r>
      <w:r w:rsidR="00461180" w:rsidRPr="001146E1">
        <w:rPr>
          <w:rFonts w:ascii="Arial" w:hAnsi="Arial"/>
          <w:b/>
        </w:rPr>
        <w:t>.</w:t>
      </w:r>
    </w:p>
    <w:sectPr w:rsidR="00D500CB" w:rsidRPr="00720E57" w:rsidSect="00720E57">
      <w:footerReference w:type="default" r:id="rId10"/>
      <w:headerReference w:type="first" r:id="rId11"/>
      <w:footerReference w:type="first" r:id="rId12"/>
      <w:pgSz w:w="16838" w:h="11906" w:orient="landscape"/>
      <w:pgMar w:top="1440" w:right="1134" w:bottom="1440" w:left="993" w:header="709" w:footer="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E57" w:rsidRDefault="00720E57" w:rsidP="00A43430">
      <w:pPr>
        <w:spacing w:after="0" w:line="240" w:lineRule="auto"/>
      </w:pPr>
      <w:r>
        <w:separator/>
      </w:r>
    </w:p>
  </w:endnote>
  <w:endnote w:type="continuationSeparator" w:id="0">
    <w:p w:rsidR="00720E57" w:rsidRDefault="00720E57" w:rsidP="00A4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arrow">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8"/>
      </w:rPr>
      <w:id w:val="4061524"/>
      <w:docPartObj>
        <w:docPartGallery w:val="Page Numbers (Top of Page)"/>
        <w:docPartUnique/>
      </w:docPartObj>
    </w:sdtPr>
    <w:sdtEndPr>
      <w:rPr>
        <w:sz w:val="18"/>
      </w:rPr>
    </w:sdtEndPr>
    <w:sdtContent>
      <w:p w:rsidR="00720E57" w:rsidRPr="002B58C9" w:rsidRDefault="00B477E7" w:rsidP="00720E57">
        <w:pPr>
          <w:pStyle w:val="Header"/>
          <w:tabs>
            <w:tab w:val="clear" w:pos="4680"/>
            <w:tab w:val="clear" w:pos="9360"/>
            <w:tab w:val="center" w:pos="4820"/>
            <w:tab w:val="right" w:pos="9072"/>
          </w:tabs>
          <w:rPr>
            <w:rFonts w:ascii="Arial" w:hAnsi="Arial" w:cs="Arial"/>
            <w:b/>
            <w:sz w:val="18"/>
          </w:rPr>
        </w:pPr>
        <w:r>
          <w:rPr>
            <w:rFonts w:ascii="Arial" w:hAnsi="Arial" w:cs="Arial"/>
            <w:sz w:val="18"/>
          </w:rPr>
          <w:t>Pharmacy Board of Australia</w:t>
        </w:r>
        <w:r>
          <w:rPr>
            <w:rFonts w:ascii="Arial" w:hAnsi="Arial" w:cs="Arial"/>
            <w:sz w:val="18"/>
          </w:rPr>
          <w:tab/>
          <w:t>Public c</w:t>
        </w:r>
        <w:r w:rsidR="00720E57" w:rsidRPr="002B58C9">
          <w:rPr>
            <w:rFonts w:ascii="Arial" w:hAnsi="Arial" w:cs="Arial"/>
            <w:sz w:val="18"/>
          </w:rPr>
          <w:t xml:space="preserve">onsultation </w:t>
        </w:r>
        <w:r w:rsidR="00720E57" w:rsidRPr="002B58C9">
          <w:rPr>
            <w:rFonts w:ascii="Arial" w:hAnsi="Arial" w:cs="Arial"/>
            <w:sz w:val="18"/>
          </w:rPr>
          <w:tab/>
        </w:r>
        <w:r w:rsidR="002B58C9">
          <w:rPr>
            <w:rFonts w:ascii="Arial" w:hAnsi="Arial" w:cs="Arial"/>
            <w:sz w:val="18"/>
          </w:rPr>
          <w:t xml:space="preserve">- </w:t>
        </w:r>
        <w:r>
          <w:rPr>
            <w:rFonts w:ascii="Arial" w:hAnsi="Arial" w:cs="Arial"/>
            <w:sz w:val="18"/>
          </w:rPr>
          <w:t>Draft guidance on expiry of compounded parenteral medicines</w:t>
        </w:r>
      </w:p>
      <w:p w:rsidR="00720E57" w:rsidRDefault="00720E57" w:rsidP="00A43430">
        <w:pPr>
          <w:pStyle w:val="Footer"/>
          <w:tabs>
            <w:tab w:val="center" w:pos="4513"/>
            <w:tab w:val="right" w:pos="9026"/>
          </w:tabs>
          <w:jc w:val="right"/>
          <w:rPr>
            <w:rFonts w:ascii="Arial" w:hAnsi="Arial" w:cs="Arial"/>
            <w:sz w:val="18"/>
            <w:szCs w:val="18"/>
          </w:rPr>
        </w:pPr>
        <w:r w:rsidRPr="009D3653">
          <w:rPr>
            <w:rFonts w:ascii="Arial" w:hAnsi="Arial" w:cs="Arial"/>
            <w:sz w:val="18"/>
            <w:szCs w:val="18"/>
          </w:rPr>
          <w:t xml:space="preserve">Page </w:t>
        </w:r>
        <w:r w:rsidR="00B93893" w:rsidRPr="009D3653">
          <w:rPr>
            <w:rFonts w:ascii="Arial" w:hAnsi="Arial" w:cs="Arial"/>
            <w:sz w:val="18"/>
            <w:szCs w:val="18"/>
          </w:rPr>
          <w:fldChar w:fldCharType="begin"/>
        </w:r>
        <w:r w:rsidRPr="009D3653">
          <w:rPr>
            <w:rFonts w:ascii="Arial" w:hAnsi="Arial" w:cs="Arial"/>
            <w:sz w:val="18"/>
            <w:szCs w:val="18"/>
          </w:rPr>
          <w:instrText xml:space="preserve"> PAGE </w:instrText>
        </w:r>
        <w:r w:rsidR="00B93893" w:rsidRPr="009D3653">
          <w:rPr>
            <w:rFonts w:ascii="Arial" w:hAnsi="Arial" w:cs="Arial"/>
            <w:sz w:val="18"/>
            <w:szCs w:val="18"/>
          </w:rPr>
          <w:fldChar w:fldCharType="separate"/>
        </w:r>
        <w:r w:rsidR="00DF7CC7">
          <w:rPr>
            <w:rFonts w:ascii="Arial" w:hAnsi="Arial" w:cs="Arial"/>
            <w:noProof/>
            <w:sz w:val="18"/>
            <w:szCs w:val="18"/>
          </w:rPr>
          <w:t>3</w:t>
        </w:r>
        <w:r w:rsidR="00B93893" w:rsidRPr="009D3653">
          <w:rPr>
            <w:rFonts w:ascii="Arial" w:hAnsi="Arial" w:cs="Arial"/>
            <w:sz w:val="18"/>
            <w:szCs w:val="18"/>
          </w:rPr>
          <w:fldChar w:fldCharType="end"/>
        </w:r>
        <w:r w:rsidRPr="009D3653">
          <w:rPr>
            <w:rFonts w:ascii="Arial" w:hAnsi="Arial" w:cs="Arial"/>
            <w:sz w:val="18"/>
            <w:szCs w:val="18"/>
          </w:rPr>
          <w:t xml:space="preserve"> of </w:t>
        </w:r>
        <w:r w:rsidR="00B93893" w:rsidRPr="009D3653">
          <w:rPr>
            <w:rFonts w:ascii="Arial" w:hAnsi="Arial" w:cs="Arial"/>
            <w:sz w:val="18"/>
            <w:szCs w:val="18"/>
          </w:rPr>
          <w:fldChar w:fldCharType="begin"/>
        </w:r>
        <w:r w:rsidRPr="009D3653">
          <w:rPr>
            <w:rFonts w:ascii="Arial" w:hAnsi="Arial" w:cs="Arial"/>
            <w:sz w:val="18"/>
            <w:szCs w:val="18"/>
          </w:rPr>
          <w:instrText xml:space="preserve"> NUMPAGES  </w:instrText>
        </w:r>
        <w:r w:rsidR="00B93893" w:rsidRPr="009D3653">
          <w:rPr>
            <w:rFonts w:ascii="Arial" w:hAnsi="Arial" w:cs="Arial"/>
            <w:sz w:val="18"/>
            <w:szCs w:val="18"/>
          </w:rPr>
          <w:fldChar w:fldCharType="separate"/>
        </w:r>
        <w:r w:rsidR="00DF7CC7">
          <w:rPr>
            <w:rFonts w:ascii="Arial" w:hAnsi="Arial" w:cs="Arial"/>
            <w:noProof/>
            <w:sz w:val="18"/>
            <w:szCs w:val="18"/>
          </w:rPr>
          <w:t>3</w:t>
        </w:r>
        <w:r w:rsidR="00B93893" w:rsidRPr="009D3653">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E57" w:rsidRPr="00E5769B" w:rsidRDefault="00720E57" w:rsidP="00192714">
    <w:pPr>
      <w:pStyle w:val="AHPRAfirstpagefooter"/>
      <w:rPr>
        <w:szCs w:val="18"/>
      </w:rPr>
    </w:pPr>
    <w:r w:rsidRPr="00E5769B">
      <w:rPr>
        <w:color w:val="007DC3"/>
        <w:szCs w:val="18"/>
      </w:rPr>
      <w:t>Pharmacy</w:t>
    </w:r>
    <w:r w:rsidRPr="00E5769B">
      <w:rPr>
        <w:szCs w:val="18"/>
      </w:rPr>
      <w:t xml:space="preserve"> Board of Australia</w:t>
    </w:r>
  </w:p>
  <w:p w:rsidR="00720E57" w:rsidRPr="00192714" w:rsidRDefault="00720E57" w:rsidP="00192714">
    <w:pPr>
      <w:pStyle w:val="AHPRAfooter"/>
      <w:jc w:val="center"/>
      <w:rPr>
        <w:rFonts w:ascii="Arial" w:hAnsi="Arial" w:cs="Arial"/>
        <w:sz w:val="18"/>
        <w:szCs w:val="18"/>
      </w:rPr>
    </w:pPr>
    <w:r w:rsidRPr="00E5769B">
      <w:rPr>
        <w:rFonts w:ascii="Arial" w:hAnsi="Arial" w:cs="Arial"/>
        <w:sz w:val="18"/>
        <w:szCs w:val="18"/>
      </w:rPr>
      <w:t xml:space="preserve">G.P.O. Box 9958   </w:t>
    </w:r>
    <w:r w:rsidRPr="00E5769B">
      <w:rPr>
        <w:rFonts w:ascii="Arial" w:hAnsi="Arial" w:cs="Arial"/>
        <w:b/>
        <w:color w:val="007DC3"/>
        <w:sz w:val="18"/>
        <w:szCs w:val="18"/>
      </w:rPr>
      <w:t>|</w:t>
    </w:r>
    <w:r w:rsidRPr="00E5769B">
      <w:rPr>
        <w:rFonts w:ascii="Arial" w:hAnsi="Arial" w:cs="Arial"/>
        <w:sz w:val="18"/>
        <w:szCs w:val="18"/>
      </w:rPr>
      <w:t xml:space="preserve">   Melbourne VIC 3001   </w:t>
    </w:r>
    <w:r w:rsidRPr="00E5769B">
      <w:rPr>
        <w:rFonts w:ascii="Arial" w:hAnsi="Arial" w:cs="Arial"/>
        <w:b/>
        <w:color w:val="007DC3"/>
        <w:sz w:val="18"/>
        <w:szCs w:val="18"/>
      </w:rPr>
      <w:t>|</w:t>
    </w:r>
    <w:r>
      <w:rPr>
        <w:rFonts w:ascii="Arial" w:hAnsi="Arial" w:cs="Arial"/>
        <w:sz w:val="18"/>
        <w:szCs w:val="18"/>
      </w:rPr>
      <w:t xml:space="preserve">   www.pharmacy</w:t>
    </w:r>
    <w:r w:rsidRPr="00E5769B">
      <w:rPr>
        <w:rFonts w:ascii="Arial" w:hAnsi="Arial" w:cs="Arial"/>
        <w:sz w:val="18"/>
        <w:szCs w:val="18"/>
      </w:rPr>
      <w:t xml:space="preserve">board.gov.au   </w:t>
    </w:r>
    <w:r w:rsidRPr="00E5769B">
      <w:rPr>
        <w:rFonts w:ascii="Arial" w:hAnsi="Arial" w:cs="Arial"/>
        <w:b/>
        <w:color w:val="007DC3"/>
        <w:sz w:val="18"/>
        <w:szCs w:val="18"/>
      </w:rPr>
      <w:t>|</w:t>
    </w:r>
    <w:r w:rsidRPr="00E5769B">
      <w:rPr>
        <w:rFonts w:ascii="Arial" w:hAnsi="Arial" w:cs="Arial"/>
        <w:sz w:val="18"/>
        <w:szCs w:val="18"/>
      </w:rPr>
      <w:t xml:space="preserve">   1300 419 495</w:t>
    </w:r>
  </w:p>
  <w:p w:rsidR="00720E57" w:rsidRPr="00E07D13" w:rsidRDefault="00720E57" w:rsidP="00192714">
    <w:pPr>
      <w:pStyle w:val="AHPRAfirstpagefooter"/>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E57" w:rsidRDefault="00720E57" w:rsidP="00A43430">
      <w:pPr>
        <w:spacing w:after="0" w:line="240" w:lineRule="auto"/>
      </w:pPr>
      <w:r>
        <w:separator/>
      </w:r>
    </w:p>
  </w:footnote>
  <w:footnote w:type="continuationSeparator" w:id="0">
    <w:p w:rsidR="00720E57" w:rsidRDefault="00720E57" w:rsidP="00A43430">
      <w:pPr>
        <w:spacing w:after="0" w:line="240" w:lineRule="auto"/>
      </w:pPr>
      <w:r>
        <w:continuationSeparator/>
      </w:r>
    </w:p>
  </w:footnote>
  <w:footnote w:id="1">
    <w:p w:rsidR="00720E57" w:rsidRDefault="00720E57" w:rsidP="00515FBC">
      <w:pPr>
        <w:pStyle w:val="FootnoteText"/>
      </w:pPr>
      <w:r w:rsidRPr="008C4D0C">
        <w:rPr>
          <w:rStyle w:val="FootnoteReference"/>
        </w:rPr>
        <w:footnoteRef/>
      </w:r>
      <w:r w:rsidRPr="008C4D0C">
        <w:t xml:space="preserve"> </w:t>
      </w:r>
      <w:r w:rsidRPr="008C4D0C">
        <w:rPr>
          <w:rFonts w:ascii="Arial" w:hAnsi="Arial" w:cs="Arial"/>
          <w:sz w:val="18"/>
          <w:szCs w:val="18"/>
        </w:rPr>
        <w:t xml:space="preserve">You are welcome to supply a PDF file of your feedback in addition to the word (or equivalent) file, however we request that you do supply a text or word file. As part of an effort to meet international website accessibility guidelines, AHPRA and National Boards are striving to publish documents in accessible formats (such as word), in addition to PDFs. More information about this is available at </w:t>
      </w:r>
      <w:hyperlink r:id="rId1" w:history="1">
        <w:r w:rsidRPr="008C4D0C">
          <w:rPr>
            <w:rStyle w:val="Hyperlink"/>
            <w:rFonts w:ascii="Arial" w:hAnsi="Arial" w:cs="Arial"/>
            <w:sz w:val="18"/>
            <w:szCs w:val="18"/>
          </w:rPr>
          <w:t>www.ahpra.gov.au/About-AHPRA/Accessibility.aspx</w:t>
        </w:r>
      </w:hyperlink>
      <w:r w:rsidRPr="00325274">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E57" w:rsidRPr="00B12E0A" w:rsidRDefault="00720E57" w:rsidP="00E5769B">
    <w:pPr>
      <w:pStyle w:val="Header"/>
      <w:jc w:val="right"/>
      <w:rPr>
        <w:rFonts w:ascii="Arial" w:hAnsi="Arial" w:cs="Arial"/>
        <w:sz w:val="20"/>
        <w:szCs w:val="20"/>
      </w:rPr>
    </w:pPr>
    <w:r w:rsidRPr="00E5769B">
      <w:rPr>
        <w:rFonts w:ascii="Arial" w:hAnsi="Arial" w:cs="Arial"/>
        <w:noProof/>
        <w:sz w:val="20"/>
        <w:szCs w:val="20"/>
        <w:lang w:eastAsia="en-AU"/>
      </w:rPr>
      <w:drawing>
        <wp:inline distT="0" distB="0" distL="0" distR="0">
          <wp:extent cx="1368152" cy="1368152"/>
          <wp:effectExtent l="0" t="0" r="0" b="0"/>
          <wp:docPr id="4" name="Picture 4" descr="Pharmacy Board of Australia Logo."/>
          <wp:cNvGraphicFramePr/>
          <a:graphic xmlns:a="http://schemas.openxmlformats.org/drawingml/2006/main">
            <a:graphicData uri="http://schemas.openxmlformats.org/drawingml/2006/picture">
              <pic:pic xmlns:pic="http://schemas.openxmlformats.org/drawingml/2006/picture">
                <pic:nvPicPr>
                  <pic:cNvPr id="1032" name="Picture 8" descr="AHPRA_PharmacyBoardofAustralia"/>
                  <pic:cNvPicPr>
                    <a:picLocks noChangeArrowheads="1"/>
                  </pic:cNvPicPr>
                </pic:nvPicPr>
                <pic:blipFill>
                  <a:blip r:embed="rId1" cstate="print"/>
                  <a:srcRect/>
                  <a:stretch>
                    <a:fillRect/>
                  </a:stretch>
                </pic:blipFill>
                <pic:spPr bwMode="auto">
                  <a:xfrm>
                    <a:off x="0" y="0"/>
                    <a:ext cx="1368152" cy="136815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D742A"/>
    <w:multiLevelType w:val="hybridMultilevel"/>
    <w:tmpl w:val="EF7049A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985FC8"/>
    <w:multiLevelType w:val="hybridMultilevel"/>
    <w:tmpl w:val="88909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9235F"/>
    <w:multiLevelType w:val="hybridMultilevel"/>
    <w:tmpl w:val="82E6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15A1A"/>
    <w:multiLevelType w:val="hybridMultilevel"/>
    <w:tmpl w:val="57D88418"/>
    <w:lvl w:ilvl="0" w:tplc="F8E6274E">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B3DA3"/>
    <w:multiLevelType w:val="hybridMultilevel"/>
    <w:tmpl w:val="C2DE67F6"/>
    <w:lvl w:ilvl="0" w:tplc="04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0E64C95"/>
    <w:multiLevelType w:val="hybridMultilevel"/>
    <w:tmpl w:val="3586CF30"/>
    <w:lvl w:ilvl="0" w:tplc="FF38CA3E">
      <w:start w:val="1"/>
      <w:numFmt w:val="decimal"/>
      <w:lvlText w:val="%1."/>
      <w:lvlJc w:val="left"/>
      <w:pPr>
        <w:ind w:left="360" w:hanging="360"/>
      </w:pPr>
      <w:rPr>
        <w:rFonts w:ascii="Arial" w:hAnsi="Arial" w:cs="Arial" w:hint="default"/>
        <w:b w:val="0"/>
        <w:color w:val="000000" w:themeColor="text1"/>
        <w:sz w:val="20"/>
        <w:szCs w:val="20"/>
      </w:rPr>
    </w:lvl>
    <w:lvl w:ilvl="1" w:tplc="7DE40FFA">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233EB"/>
    <w:multiLevelType w:val="hybridMultilevel"/>
    <w:tmpl w:val="D68AFF28"/>
    <w:lvl w:ilvl="0" w:tplc="6726B46A">
      <w:start w:val="1"/>
      <w:numFmt w:val="decimal"/>
      <w:lvlText w:val="%1."/>
      <w:lvlJc w:val="left"/>
      <w:pPr>
        <w:ind w:left="36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E4016C"/>
    <w:multiLevelType w:val="hybridMultilevel"/>
    <w:tmpl w:val="55A86998"/>
    <w:lvl w:ilvl="0" w:tplc="65C0FF30">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C4671"/>
    <w:multiLevelType w:val="hybridMultilevel"/>
    <w:tmpl w:val="92B83294"/>
    <w:lvl w:ilvl="0" w:tplc="91F4BB4A">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DEA710E"/>
    <w:multiLevelType w:val="hybridMultilevel"/>
    <w:tmpl w:val="9FC00156"/>
    <w:lvl w:ilvl="0" w:tplc="8FE26C52">
      <w:start w:val="1"/>
      <w:numFmt w:val="decimal"/>
      <w:lvlText w:val="%1."/>
      <w:lvlJc w:val="left"/>
      <w:pPr>
        <w:ind w:left="360" w:hanging="360"/>
      </w:pPr>
      <w:rPr>
        <w:rFonts w:ascii="Arial" w:hAnsi="Arial" w:cs="Arial"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57DB9"/>
    <w:multiLevelType w:val="hybridMultilevel"/>
    <w:tmpl w:val="61D6E9B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76530AC"/>
    <w:multiLevelType w:val="hybridMultilevel"/>
    <w:tmpl w:val="EA50A5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DBF5762"/>
    <w:multiLevelType w:val="hybridMultilevel"/>
    <w:tmpl w:val="284EA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9"/>
  </w:num>
  <w:num w:numId="4">
    <w:abstractNumId w:val="3"/>
  </w:num>
  <w:num w:numId="5">
    <w:abstractNumId w:val="7"/>
  </w:num>
  <w:num w:numId="6">
    <w:abstractNumId w:val="2"/>
  </w:num>
  <w:num w:numId="7">
    <w:abstractNumId w:val="12"/>
  </w:num>
  <w:num w:numId="8">
    <w:abstractNumId w:val="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659E"/>
    <w:rsid w:val="00003F0A"/>
    <w:rsid w:val="00015761"/>
    <w:rsid w:val="0002306A"/>
    <w:rsid w:val="000255FE"/>
    <w:rsid w:val="000506EA"/>
    <w:rsid w:val="000A04E2"/>
    <w:rsid w:val="000C51C7"/>
    <w:rsid w:val="000D22C5"/>
    <w:rsid w:val="000D72F6"/>
    <w:rsid w:val="000F32CC"/>
    <w:rsid w:val="001037F1"/>
    <w:rsid w:val="001146E1"/>
    <w:rsid w:val="0011488A"/>
    <w:rsid w:val="00122E5E"/>
    <w:rsid w:val="0013396B"/>
    <w:rsid w:val="00135815"/>
    <w:rsid w:val="00192714"/>
    <w:rsid w:val="001A6FF0"/>
    <w:rsid w:val="001B59D4"/>
    <w:rsid w:val="001D5537"/>
    <w:rsid w:val="001F419C"/>
    <w:rsid w:val="001F49A0"/>
    <w:rsid w:val="001F63F8"/>
    <w:rsid w:val="001F7A6B"/>
    <w:rsid w:val="00204E84"/>
    <w:rsid w:val="00232339"/>
    <w:rsid w:val="00235B87"/>
    <w:rsid w:val="0023733D"/>
    <w:rsid w:val="00265ED5"/>
    <w:rsid w:val="002A5A59"/>
    <w:rsid w:val="002B58C9"/>
    <w:rsid w:val="002C138A"/>
    <w:rsid w:val="002D6FEB"/>
    <w:rsid w:val="00312D1D"/>
    <w:rsid w:val="00325589"/>
    <w:rsid w:val="00333CB2"/>
    <w:rsid w:val="00345EB3"/>
    <w:rsid w:val="003535C0"/>
    <w:rsid w:val="00362447"/>
    <w:rsid w:val="00371AE4"/>
    <w:rsid w:val="00374C1F"/>
    <w:rsid w:val="00395CC6"/>
    <w:rsid w:val="003A3EFB"/>
    <w:rsid w:val="003A5FFE"/>
    <w:rsid w:val="003A7F1F"/>
    <w:rsid w:val="003E151C"/>
    <w:rsid w:val="003F3C94"/>
    <w:rsid w:val="00411FB6"/>
    <w:rsid w:val="0041414F"/>
    <w:rsid w:val="00432B52"/>
    <w:rsid w:val="00461180"/>
    <w:rsid w:val="00485DEA"/>
    <w:rsid w:val="00487166"/>
    <w:rsid w:val="004C3812"/>
    <w:rsid w:val="004E13C1"/>
    <w:rsid w:val="004E69DB"/>
    <w:rsid w:val="004F01FD"/>
    <w:rsid w:val="004F6E85"/>
    <w:rsid w:val="00515FBC"/>
    <w:rsid w:val="00516EF8"/>
    <w:rsid w:val="00547923"/>
    <w:rsid w:val="00566FD1"/>
    <w:rsid w:val="005804F4"/>
    <w:rsid w:val="0058421F"/>
    <w:rsid w:val="005A75F0"/>
    <w:rsid w:val="005B11D8"/>
    <w:rsid w:val="005D6C58"/>
    <w:rsid w:val="005E405C"/>
    <w:rsid w:val="006266AB"/>
    <w:rsid w:val="00651633"/>
    <w:rsid w:val="00662FDE"/>
    <w:rsid w:val="0069209F"/>
    <w:rsid w:val="006D783D"/>
    <w:rsid w:val="006E2D73"/>
    <w:rsid w:val="006E7EB2"/>
    <w:rsid w:val="006F021B"/>
    <w:rsid w:val="00700478"/>
    <w:rsid w:val="0070387E"/>
    <w:rsid w:val="007060F7"/>
    <w:rsid w:val="0071260D"/>
    <w:rsid w:val="00720E57"/>
    <w:rsid w:val="0072456E"/>
    <w:rsid w:val="00742725"/>
    <w:rsid w:val="00755A0F"/>
    <w:rsid w:val="00756610"/>
    <w:rsid w:val="00780CE7"/>
    <w:rsid w:val="0078580E"/>
    <w:rsid w:val="007A2F31"/>
    <w:rsid w:val="007D237D"/>
    <w:rsid w:val="007D5E6C"/>
    <w:rsid w:val="00814488"/>
    <w:rsid w:val="00821E14"/>
    <w:rsid w:val="00824172"/>
    <w:rsid w:val="008338F1"/>
    <w:rsid w:val="0083417E"/>
    <w:rsid w:val="008754B8"/>
    <w:rsid w:val="008A74F0"/>
    <w:rsid w:val="009062D9"/>
    <w:rsid w:val="0093789E"/>
    <w:rsid w:val="00955659"/>
    <w:rsid w:val="009C53C9"/>
    <w:rsid w:val="009F1223"/>
    <w:rsid w:val="009F6555"/>
    <w:rsid w:val="00A10930"/>
    <w:rsid w:val="00A43430"/>
    <w:rsid w:val="00A62498"/>
    <w:rsid w:val="00A95B18"/>
    <w:rsid w:val="00AD021B"/>
    <w:rsid w:val="00B12E0A"/>
    <w:rsid w:val="00B43FBE"/>
    <w:rsid w:val="00B477E7"/>
    <w:rsid w:val="00B62F99"/>
    <w:rsid w:val="00B93893"/>
    <w:rsid w:val="00B950B5"/>
    <w:rsid w:val="00BA7F4C"/>
    <w:rsid w:val="00BB69CC"/>
    <w:rsid w:val="00BC1A95"/>
    <w:rsid w:val="00BC5E3E"/>
    <w:rsid w:val="00BD623A"/>
    <w:rsid w:val="00BE095D"/>
    <w:rsid w:val="00BE2250"/>
    <w:rsid w:val="00BE6A10"/>
    <w:rsid w:val="00BF36AB"/>
    <w:rsid w:val="00C05619"/>
    <w:rsid w:val="00C32BAE"/>
    <w:rsid w:val="00C3659E"/>
    <w:rsid w:val="00C86132"/>
    <w:rsid w:val="00C96543"/>
    <w:rsid w:val="00CD37E6"/>
    <w:rsid w:val="00CF78AF"/>
    <w:rsid w:val="00D04C4C"/>
    <w:rsid w:val="00D3072C"/>
    <w:rsid w:val="00D439F0"/>
    <w:rsid w:val="00D500CB"/>
    <w:rsid w:val="00D666E3"/>
    <w:rsid w:val="00D8397E"/>
    <w:rsid w:val="00D91023"/>
    <w:rsid w:val="00DB403D"/>
    <w:rsid w:val="00DB5474"/>
    <w:rsid w:val="00DC53CF"/>
    <w:rsid w:val="00DD1CFE"/>
    <w:rsid w:val="00DF4AF6"/>
    <w:rsid w:val="00DF7CC7"/>
    <w:rsid w:val="00E07D13"/>
    <w:rsid w:val="00E2141B"/>
    <w:rsid w:val="00E25FA7"/>
    <w:rsid w:val="00E56830"/>
    <w:rsid w:val="00E5769B"/>
    <w:rsid w:val="00E7034E"/>
    <w:rsid w:val="00EA003C"/>
    <w:rsid w:val="00EB35D2"/>
    <w:rsid w:val="00EC766F"/>
    <w:rsid w:val="00F0552E"/>
    <w:rsid w:val="00F1330C"/>
    <w:rsid w:val="00F30010"/>
    <w:rsid w:val="00F410FD"/>
    <w:rsid w:val="00F47F45"/>
    <w:rsid w:val="00F56B4A"/>
    <w:rsid w:val="00F6154A"/>
    <w:rsid w:val="00F65455"/>
    <w:rsid w:val="00F91FB2"/>
    <w:rsid w:val="00F93F8C"/>
    <w:rsid w:val="00FA44C0"/>
    <w:rsid w:val="00FF17B3"/>
    <w:rsid w:val="00FF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3"/>
      </o:rules>
    </o:shapelayout>
  </w:shapeDefaults>
  <w:decimalSymbol w:val="."/>
  <w:listSeparator w:val=","/>
  <w15:docId w15:val="{438B7316-F07A-4884-906C-AB17DB3F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59E"/>
    <w:pPr>
      <w:spacing w:after="200" w:line="276" w:lineRule="auto"/>
    </w:pPr>
    <w:rPr>
      <w:rFonts w:ascii="Calibri" w:eastAsia="Times New Roman"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659E"/>
    <w:rPr>
      <w:rFonts w:ascii="Calibri" w:eastAsia="Times New Roman" w:hAnsi="Calibri"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1"/>
    <w:rsid w:val="00C3659E"/>
    <w:rPr>
      <w:rFonts w:cs="Times New Roman"/>
      <w:sz w:val="16"/>
      <w:szCs w:val="16"/>
    </w:rPr>
  </w:style>
  <w:style w:type="paragraph" w:styleId="CommentText">
    <w:name w:val="annotation text"/>
    <w:basedOn w:val="Normal"/>
    <w:link w:val="CommentTextChar"/>
    <w:uiPriority w:val="1"/>
    <w:rsid w:val="00C3659E"/>
    <w:pPr>
      <w:spacing w:line="240" w:lineRule="auto"/>
    </w:pPr>
    <w:rPr>
      <w:rFonts w:eastAsia="Calibri"/>
      <w:sz w:val="20"/>
      <w:szCs w:val="20"/>
    </w:rPr>
  </w:style>
  <w:style w:type="character" w:customStyle="1" w:styleId="CommentTextChar">
    <w:name w:val="Comment Text Char"/>
    <w:basedOn w:val="DefaultParagraphFont"/>
    <w:link w:val="CommentText"/>
    <w:uiPriority w:val="1"/>
    <w:rsid w:val="00C3659E"/>
    <w:rPr>
      <w:rFonts w:ascii="Calibri" w:eastAsia="Calibri" w:hAnsi="Calibri" w:cs="Times New Roman"/>
      <w:lang w:val="en-AU"/>
    </w:rPr>
  </w:style>
  <w:style w:type="paragraph" w:customStyle="1" w:styleId="AHPRATitle">
    <w:name w:val="AHPRA Title"/>
    <w:basedOn w:val="Normal"/>
    <w:next w:val="Normal"/>
    <w:qFormat/>
    <w:rsid w:val="00C3659E"/>
    <w:pPr>
      <w:spacing w:line="240" w:lineRule="auto"/>
      <w:outlineLvl w:val="0"/>
    </w:pPr>
    <w:rPr>
      <w:rFonts w:ascii="Arial" w:hAnsi="Arial" w:cs="Arial"/>
      <w:color w:val="808080"/>
      <w:sz w:val="44"/>
      <w:szCs w:val="52"/>
    </w:rPr>
  </w:style>
  <w:style w:type="paragraph" w:customStyle="1" w:styleId="TableText">
    <w:name w:val="TableText"/>
    <w:basedOn w:val="Normal"/>
    <w:rsid w:val="00C3659E"/>
    <w:pPr>
      <w:keepNext/>
      <w:spacing w:before="120" w:after="120" w:line="240" w:lineRule="auto"/>
    </w:pPr>
    <w:rPr>
      <w:rFonts w:ascii="Helvetica Narrow" w:eastAsia="Calibri" w:hAnsi="Helvetica Narrow"/>
      <w:color w:val="000000"/>
      <w:sz w:val="20"/>
      <w:szCs w:val="24"/>
    </w:rPr>
  </w:style>
  <w:style w:type="paragraph" w:styleId="BalloonText">
    <w:name w:val="Balloon Text"/>
    <w:basedOn w:val="Normal"/>
    <w:link w:val="BalloonTextChar"/>
    <w:uiPriority w:val="99"/>
    <w:semiHidden/>
    <w:unhideWhenUsed/>
    <w:rsid w:val="00C36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9E"/>
    <w:rPr>
      <w:rFonts w:ascii="Tahoma" w:eastAsia="Times New Roman" w:hAnsi="Tahoma" w:cs="Tahoma"/>
      <w:sz w:val="16"/>
      <w:szCs w:val="16"/>
      <w:lang w:val="en-AU"/>
    </w:rPr>
  </w:style>
  <w:style w:type="paragraph" w:styleId="ListParagraph">
    <w:name w:val="List Paragraph"/>
    <w:basedOn w:val="Normal"/>
    <w:link w:val="ListParagraphChar"/>
    <w:uiPriority w:val="34"/>
    <w:qFormat/>
    <w:rsid w:val="00A43430"/>
    <w:pPr>
      <w:ind w:left="720"/>
      <w:contextualSpacing/>
    </w:pPr>
  </w:style>
  <w:style w:type="paragraph" w:customStyle="1" w:styleId="AHPRAHeadline">
    <w:name w:val="AHPRA Headline"/>
    <w:basedOn w:val="Normal"/>
    <w:qFormat/>
    <w:rsid w:val="00A43430"/>
    <w:pPr>
      <w:spacing w:line="240" w:lineRule="auto"/>
    </w:pPr>
    <w:rPr>
      <w:rFonts w:ascii="Arial" w:hAnsi="Arial"/>
      <w:color w:val="008EC4"/>
      <w:sz w:val="28"/>
      <w:szCs w:val="24"/>
      <w:lang w:val="en-US"/>
    </w:rPr>
  </w:style>
  <w:style w:type="paragraph" w:customStyle="1" w:styleId="AHPRASubhead">
    <w:name w:val="AHPRA Subhead"/>
    <w:basedOn w:val="Normal"/>
    <w:qFormat/>
    <w:rsid w:val="00A43430"/>
    <w:pPr>
      <w:spacing w:line="240" w:lineRule="auto"/>
    </w:pPr>
    <w:rPr>
      <w:rFonts w:ascii="Arial" w:hAnsi="Arial"/>
      <w:b/>
      <w:color w:val="008EC4"/>
      <w:sz w:val="20"/>
      <w:szCs w:val="24"/>
      <w:lang w:val="en-US"/>
    </w:rPr>
  </w:style>
  <w:style w:type="character" w:customStyle="1" w:styleId="ListParagraphChar">
    <w:name w:val="List Paragraph Char"/>
    <w:link w:val="ListParagraph"/>
    <w:uiPriority w:val="34"/>
    <w:locked/>
    <w:rsid w:val="00A43430"/>
    <w:rPr>
      <w:rFonts w:ascii="Calibri" w:eastAsia="Times New Roman" w:hAnsi="Calibri" w:cs="Times New Roman"/>
      <w:sz w:val="22"/>
      <w:szCs w:val="22"/>
      <w:lang w:val="en-AU"/>
    </w:rPr>
  </w:style>
  <w:style w:type="paragraph" w:styleId="Header">
    <w:name w:val="header"/>
    <w:basedOn w:val="Normal"/>
    <w:link w:val="HeaderChar"/>
    <w:uiPriority w:val="99"/>
    <w:unhideWhenUsed/>
    <w:rsid w:val="00A43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30"/>
    <w:rPr>
      <w:rFonts w:ascii="Calibri" w:eastAsia="Times New Roman" w:hAnsi="Calibri" w:cs="Times New Roman"/>
      <w:sz w:val="22"/>
      <w:szCs w:val="22"/>
      <w:lang w:val="en-AU"/>
    </w:rPr>
  </w:style>
  <w:style w:type="paragraph" w:styleId="Footer">
    <w:name w:val="footer"/>
    <w:basedOn w:val="Normal"/>
    <w:link w:val="FooterChar"/>
    <w:uiPriority w:val="99"/>
    <w:unhideWhenUsed/>
    <w:rsid w:val="00A43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30"/>
    <w:rPr>
      <w:rFonts w:ascii="Calibri" w:eastAsia="Times New Roman" w:hAnsi="Calibri" w:cs="Times New Roman"/>
      <w:sz w:val="22"/>
      <w:szCs w:val="22"/>
      <w:lang w:val="en-AU"/>
    </w:rPr>
  </w:style>
  <w:style w:type="paragraph" w:styleId="CommentSubject">
    <w:name w:val="annotation subject"/>
    <w:basedOn w:val="CommentText"/>
    <w:next w:val="CommentText"/>
    <w:link w:val="CommentSubjectChar"/>
    <w:uiPriority w:val="99"/>
    <w:semiHidden/>
    <w:unhideWhenUsed/>
    <w:rsid w:val="001A6FF0"/>
    <w:rPr>
      <w:rFonts w:eastAsia="Times New Roman"/>
      <w:b/>
      <w:bCs/>
    </w:rPr>
  </w:style>
  <w:style w:type="character" w:customStyle="1" w:styleId="CommentSubjectChar">
    <w:name w:val="Comment Subject Char"/>
    <w:basedOn w:val="CommentTextChar"/>
    <w:link w:val="CommentSubject"/>
    <w:uiPriority w:val="99"/>
    <w:semiHidden/>
    <w:rsid w:val="001A6FF0"/>
    <w:rPr>
      <w:rFonts w:ascii="Calibri" w:eastAsia="Times New Roman" w:hAnsi="Calibri" w:cs="Times New Roman"/>
      <w:b/>
      <w:bCs/>
      <w:lang w:val="en-AU"/>
    </w:rPr>
  </w:style>
  <w:style w:type="paragraph" w:customStyle="1" w:styleId="AHPRAbodytext">
    <w:name w:val="AHPRA body text"/>
    <w:basedOn w:val="Normal"/>
    <w:rsid w:val="00B12E0A"/>
    <w:pPr>
      <w:spacing w:line="240" w:lineRule="auto"/>
    </w:pPr>
    <w:rPr>
      <w:rFonts w:ascii="Arial" w:eastAsia="Cambria" w:hAnsi="Arial" w:cs="Arial"/>
      <w:sz w:val="20"/>
      <w:szCs w:val="24"/>
      <w:lang w:val="en-US"/>
    </w:rPr>
  </w:style>
  <w:style w:type="paragraph" w:customStyle="1" w:styleId="AHPRADocumenttitle">
    <w:name w:val="AHPRA Document title"/>
    <w:basedOn w:val="Normal"/>
    <w:rsid w:val="00192714"/>
    <w:pPr>
      <w:spacing w:before="200" w:line="240" w:lineRule="auto"/>
      <w:outlineLvl w:val="0"/>
    </w:pPr>
    <w:rPr>
      <w:rFonts w:ascii="Arial" w:eastAsia="Cambria" w:hAnsi="Arial" w:cs="Arial"/>
      <w:color w:val="00BCCE"/>
      <w:sz w:val="32"/>
      <w:szCs w:val="52"/>
      <w:lang w:val="en-US"/>
    </w:rPr>
  </w:style>
  <w:style w:type="paragraph" w:customStyle="1" w:styleId="AHPRADocumentsubheading">
    <w:name w:val="AHPRA Document subheading"/>
    <w:basedOn w:val="Normal"/>
    <w:next w:val="Normal"/>
    <w:uiPriority w:val="99"/>
    <w:qFormat/>
    <w:rsid w:val="00192714"/>
    <w:pPr>
      <w:spacing w:line="240" w:lineRule="auto"/>
      <w:outlineLvl w:val="0"/>
    </w:pPr>
    <w:rPr>
      <w:rFonts w:ascii="Arial" w:eastAsia="Cambria" w:hAnsi="Arial" w:cs="Arial"/>
      <w:color w:val="808080"/>
      <w:sz w:val="28"/>
      <w:szCs w:val="52"/>
      <w:lang w:val="en-US"/>
    </w:rPr>
  </w:style>
  <w:style w:type="paragraph" w:customStyle="1" w:styleId="AHPRAfooter">
    <w:name w:val="AHPRA footer"/>
    <w:basedOn w:val="FootnoteText"/>
    <w:rsid w:val="00192714"/>
  </w:style>
  <w:style w:type="paragraph" w:customStyle="1" w:styleId="AHPRAfirstpagefooter">
    <w:name w:val="AHPRA first page footer"/>
    <w:basedOn w:val="AHPRAfooter"/>
    <w:rsid w:val="00192714"/>
    <w:pPr>
      <w:jc w:val="center"/>
    </w:pPr>
    <w:rPr>
      <w:rFonts w:ascii="Arial" w:eastAsia="Cambria" w:hAnsi="Arial" w:cs="Arial"/>
      <w:b/>
      <w:color w:val="5F6062"/>
      <w:sz w:val="18"/>
    </w:rPr>
  </w:style>
  <w:style w:type="paragraph" w:styleId="FootnoteText">
    <w:name w:val="footnote text"/>
    <w:basedOn w:val="Normal"/>
    <w:link w:val="FootnoteTextChar"/>
    <w:uiPriority w:val="99"/>
    <w:unhideWhenUsed/>
    <w:rsid w:val="00192714"/>
    <w:pPr>
      <w:spacing w:after="0" w:line="240" w:lineRule="auto"/>
    </w:pPr>
    <w:rPr>
      <w:sz w:val="20"/>
      <w:szCs w:val="20"/>
    </w:rPr>
  </w:style>
  <w:style w:type="character" w:customStyle="1" w:styleId="FootnoteTextChar">
    <w:name w:val="Footnote Text Char"/>
    <w:basedOn w:val="DefaultParagraphFont"/>
    <w:link w:val="FootnoteText"/>
    <w:uiPriority w:val="99"/>
    <w:rsid w:val="00192714"/>
    <w:rPr>
      <w:rFonts w:ascii="Calibri" w:eastAsia="Times New Roman" w:hAnsi="Calibri" w:cs="Times New Roman"/>
      <w:lang w:val="en-AU"/>
    </w:rPr>
  </w:style>
  <w:style w:type="character" w:styleId="Hyperlink">
    <w:name w:val="Hyperlink"/>
    <w:uiPriority w:val="99"/>
    <w:unhideWhenUsed/>
    <w:rsid w:val="00E2141B"/>
    <w:rPr>
      <w:color w:val="0000FF"/>
      <w:u w:val="single"/>
    </w:rPr>
  </w:style>
  <w:style w:type="character" w:customStyle="1" w:styleId="AHPRAbodyChar">
    <w:name w:val="AHPRA body Char"/>
    <w:basedOn w:val="DefaultParagraphFont"/>
    <w:link w:val="AHPRAbody"/>
    <w:locked/>
    <w:rsid w:val="00E2141B"/>
    <w:rPr>
      <w:rFonts w:ascii="Cambria" w:eastAsia="Cambria" w:hAnsi="Cambria"/>
      <w:szCs w:val="24"/>
      <w:lang w:val="en-AU"/>
    </w:rPr>
  </w:style>
  <w:style w:type="paragraph" w:customStyle="1" w:styleId="AHPRAbody">
    <w:name w:val="AHPRA body"/>
    <w:basedOn w:val="Normal"/>
    <w:link w:val="AHPRAbodyChar"/>
    <w:qFormat/>
    <w:rsid w:val="00E2141B"/>
    <w:pPr>
      <w:spacing w:line="240" w:lineRule="auto"/>
    </w:pPr>
    <w:rPr>
      <w:rFonts w:ascii="Cambria" w:eastAsia="Cambria" w:hAnsi="Cambria" w:cs="Arial"/>
      <w:sz w:val="20"/>
      <w:szCs w:val="24"/>
    </w:rPr>
  </w:style>
  <w:style w:type="character" w:styleId="FollowedHyperlink">
    <w:name w:val="FollowedHyperlink"/>
    <w:basedOn w:val="DefaultParagraphFont"/>
    <w:uiPriority w:val="99"/>
    <w:semiHidden/>
    <w:unhideWhenUsed/>
    <w:rsid w:val="00E56830"/>
    <w:rPr>
      <w:color w:val="800080" w:themeColor="followedHyperlink"/>
      <w:u w:val="single"/>
    </w:rPr>
  </w:style>
  <w:style w:type="character" w:styleId="FootnoteReference">
    <w:name w:val="footnote reference"/>
    <w:basedOn w:val="DefaultParagraphFont"/>
    <w:uiPriority w:val="99"/>
    <w:rsid w:val="00515F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09310">
      <w:bodyDiv w:val="1"/>
      <w:marLeft w:val="0"/>
      <w:marRight w:val="0"/>
      <w:marTop w:val="0"/>
      <w:marBottom w:val="0"/>
      <w:divBdr>
        <w:top w:val="none" w:sz="0" w:space="0" w:color="auto"/>
        <w:left w:val="none" w:sz="0" w:space="0" w:color="auto"/>
        <w:bottom w:val="none" w:sz="0" w:space="0" w:color="auto"/>
        <w:right w:val="none" w:sz="0" w:space="0" w:color="auto"/>
      </w:divBdr>
    </w:div>
    <w:div w:id="683551020">
      <w:bodyDiv w:val="1"/>
      <w:marLeft w:val="0"/>
      <w:marRight w:val="0"/>
      <w:marTop w:val="0"/>
      <w:marBottom w:val="0"/>
      <w:divBdr>
        <w:top w:val="none" w:sz="0" w:space="0" w:color="auto"/>
        <w:left w:val="none" w:sz="0" w:space="0" w:color="auto"/>
        <w:bottom w:val="none" w:sz="0" w:space="0" w:color="auto"/>
        <w:right w:val="none" w:sz="0" w:space="0" w:color="auto"/>
      </w:divBdr>
    </w:div>
    <w:div w:id="690299699">
      <w:bodyDiv w:val="1"/>
      <w:marLeft w:val="0"/>
      <w:marRight w:val="0"/>
      <w:marTop w:val="0"/>
      <w:marBottom w:val="0"/>
      <w:divBdr>
        <w:top w:val="none" w:sz="0" w:space="0" w:color="auto"/>
        <w:left w:val="none" w:sz="0" w:space="0" w:color="auto"/>
        <w:bottom w:val="none" w:sz="0" w:space="0" w:color="auto"/>
        <w:right w:val="none" w:sz="0" w:space="0" w:color="auto"/>
      </w:divBdr>
    </w:div>
    <w:div w:id="1249269204">
      <w:bodyDiv w:val="1"/>
      <w:marLeft w:val="0"/>
      <w:marRight w:val="0"/>
      <w:marTop w:val="0"/>
      <w:marBottom w:val="0"/>
      <w:divBdr>
        <w:top w:val="none" w:sz="0" w:space="0" w:color="auto"/>
        <w:left w:val="none" w:sz="0" w:space="0" w:color="auto"/>
        <w:bottom w:val="none" w:sz="0" w:space="0" w:color="auto"/>
        <w:right w:val="none" w:sz="0" w:space="0" w:color="auto"/>
      </w:divBdr>
    </w:div>
    <w:div w:id="1605727348">
      <w:bodyDiv w:val="1"/>
      <w:marLeft w:val="0"/>
      <w:marRight w:val="0"/>
      <w:marTop w:val="0"/>
      <w:marBottom w:val="0"/>
      <w:divBdr>
        <w:top w:val="none" w:sz="0" w:space="0" w:color="auto"/>
        <w:left w:val="none" w:sz="0" w:space="0" w:color="auto"/>
        <w:bottom w:val="none" w:sz="0" w:space="0" w:color="auto"/>
        <w:right w:val="none" w:sz="0" w:space="0" w:color="auto"/>
      </w:divBdr>
    </w:div>
    <w:div w:id="20925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rmacyconsultation@ahpra.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harmacyconsultation@ahpra.gov.a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hpra.gov.au/About-AHPRA/Accessibilit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40342-7A6E-40CC-8AE6-8B2C9239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3474</Characters>
  <Application>Microsoft Office Word</Application>
  <DocSecurity>0</DocSecurity>
  <Lines>128</Lines>
  <Paragraphs>52</Paragraphs>
  <ScaleCrop>false</ScaleCrop>
  <HeadingPairs>
    <vt:vector size="2" baseType="variant">
      <vt:variant>
        <vt:lpstr>Title</vt:lpstr>
      </vt:variant>
      <vt:variant>
        <vt:i4>1</vt:i4>
      </vt:variant>
    </vt:vector>
  </HeadingPairs>
  <TitlesOfParts>
    <vt:vector size="1" baseType="lpstr">
      <vt:lpstr>Guidelines on compounding of medicines</vt:lpstr>
    </vt:vector>
  </TitlesOfParts>
  <Company>AHPRA</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compounding of medicines - Kingsway Compounding </dc:title>
  <dc:subject>Submission</dc:subject>
  <dc:creator>Pharmacy Board</dc:creator>
  <cp:keywords>Guidelines on compounding of medicines</cp:keywords>
  <cp:lastModifiedBy>Sheryl Kamath</cp:lastModifiedBy>
  <cp:revision>3</cp:revision>
  <cp:lastPrinted>2013-09-17T06:32:00Z</cp:lastPrinted>
  <dcterms:created xsi:type="dcterms:W3CDTF">2016-10-21T02:01:00Z</dcterms:created>
  <dcterms:modified xsi:type="dcterms:W3CDTF">2016-10-21T02:21:00Z</dcterms:modified>
</cp:coreProperties>
</file>