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95" w:rsidRDefault="00934395" w:rsidP="00D766E0">
      <w:pPr>
        <w:autoSpaceDE w:val="0"/>
        <w:autoSpaceDN w:val="0"/>
        <w:adjustRightInd w:val="0"/>
        <w:spacing w:before="360"/>
        <w:ind w:left="-360"/>
        <w:jc w:val="center"/>
        <w:rPr>
          <w:b/>
          <w:sz w:val="28"/>
          <w:szCs w:val="28"/>
        </w:rPr>
      </w:pPr>
      <w:bookmarkStart w:id="0" w:name="_GoBack"/>
      <w:bookmarkEnd w:id="0"/>
      <w:r>
        <w:rPr>
          <w:b/>
          <w:sz w:val="28"/>
          <w:szCs w:val="28"/>
        </w:rPr>
        <w:t>REVIEW OF CONSULTATION PAPERS, STANDARDS AND GUIDELINES</w:t>
      </w:r>
    </w:p>
    <w:p w:rsidR="00A27C27" w:rsidRDefault="00A27C27" w:rsidP="004D361C">
      <w:pPr>
        <w:autoSpaceDE w:val="0"/>
        <w:autoSpaceDN w:val="0"/>
        <w:adjustRightInd w:val="0"/>
        <w:rPr>
          <w:b/>
          <w:sz w:val="28"/>
          <w:szCs w:val="28"/>
        </w:rPr>
      </w:pPr>
    </w:p>
    <w:p w:rsidR="00934395" w:rsidRDefault="00934395" w:rsidP="00D766E0">
      <w:pPr>
        <w:autoSpaceDE w:val="0"/>
        <w:autoSpaceDN w:val="0"/>
        <w:adjustRightInd w:val="0"/>
        <w:ind w:left="-360"/>
        <w:rPr>
          <w:rFonts w:ascii="Tahoma" w:hAnsi="Tahoma" w:cs="Tahoma"/>
          <w:sz w:val="16"/>
          <w:szCs w:val="16"/>
          <w:lang w:eastAsia="en-AU"/>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16"/>
        <w:gridCol w:w="6692"/>
      </w:tblGrid>
      <w:tr w:rsidR="00B25AA4" w:rsidRPr="00285E0D" w:rsidTr="00285E0D">
        <w:trPr>
          <w:trHeight w:val="233"/>
        </w:trPr>
        <w:tc>
          <w:tcPr>
            <w:tcW w:w="3028" w:type="dxa"/>
            <w:gridSpan w:val="2"/>
            <w:tcBorders>
              <w:bottom w:val="single" w:sz="4" w:space="0" w:color="auto"/>
            </w:tcBorders>
          </w:tcPr>
          <w:p w:rsidR="00B25AA4" w:rsidRPr="00285E0D" w:rsidRDefault="004D361C" w:rsidP="00285E0D">
            <w:pPr>
              <w:spacing w:before="120" w:after="120"/>
              <w:rPr>
                <w:b/>
                <w:sz w:val="20"/>
                <w:szCs w:val="20"/>
              </w:rPr>
            </w:pPr>
            <w:r>
              <w:rPr>
                <w:b/>
                <w:sz w:val="20"/>
                <w:szCs w:val="20"/>
              </w:rPr>
              <w:t>Susan Alexander</w:t>
            </w:r>
          </w:p>
        </w:tc>
        <w:tc>
          <w:tcPr>
            <w:tcW w:w="6692" w:type="dxa"/>
            <w:tcBorders>
              <w:bottom w:val="single" w:sz="4" w:space="0" w:color="auto"/>
            </w:tcBorders>
            <w:shd w:val="clear" w:color="auto" w:fill="auto"/>
          </w:tcPr>
          <w:p w:rsidR="00B25AA4" w:rsidRPr="00285E0D" w:rsidRDefault="004524A5" w:rsidP="00285E0D">
            <w:pPr>
              <w:spacing w:before="120" w:after="120"/>
              <w:rPr>
                <w:sz w:val="20"/>
                <w:szCs w:val="20"/>
              </w:rPr>
            </w:pPr>
            <w:r>
              <w:rPr>
                <w:sz w:val="20"/>
                <w:szCs w:val="20"/>
              </w:rPr>
              <w:t xml:space="preserve">Lead pharmacist, Calvary Hospital, Bruce ACT </w:t>
            </w:r>
          </w:p>
        </w:tc>
      </w:tr>
      <w:tr w:rsidR="004524A5" w:rsidRPr="00285E0D" w:rsidTr="00285E0D">
        <w:trPr>
          <w:trHeight w:val="233"/>
        </w:trPr>
        <w:tc>
          <w:tcPr>
            <w:tcW w:w="3028" w:type="dxa"/>
            <w:gridSpan w:val="2"/>
            <w:tcBorders>
              <w:bottom w:val="single" w:sz="4" w:space="0" w:color="auto"/>
            </w:tcBorders>
          </w:tcPr>
          <w:p w:rsidR="004524A5" w:rsidRDefault="004524A5" w:rsidP="00285E0D">
            <w:pPr>
              <w:spacing w:before="120" w:after="120"/>
              <w:rPr>
                <w:b/>
                <w:sz w:val="20"/>
                <w:szCs w:val="20"/>
              </w:rPr>
            </w:pPr>
            <w:r>
              <w:rPr>
                <w:b/>
                <w:sz w:val="20"/>
                <w:szCs w:val="20"/>
              </w:rPr>
              <w:t>Email:</w:t>
            </w:r>
          </w:p>
        </w:tc>
        <w:tc>
          <w:tcPr>
            <w:tcW w:w="6692" w:type="dxa"/>
            <w:tcBorders>
              <w:bottom w:val="single" w:sz="4" w:space="0" w:color="auto"/>
            </w:tcBorders>
            <w:shd w:val="clear" w:color="auto" w:fill="auto"/>
          </w:tcPr>
          <w:p w:rsidR="004524A5" w:rsidRDefault="00804F22" w:rsidP="00285E0D">
            <w:pPr>
              <w:spacing w:before="120" w:after="120"/>
              <w:rPr>
                <w:sz w:val="20"/>
                <w:szCs w:val="20"/>
              </w:rPr>
            </w:pPr>
            <w:r w:rsidRPr="00804F22">
              <w:rPr>
                <w:sz w:val="20"/>
                <w:szCs w:val="20"/>
                <w:highlight w:val="black"/>
              </w:rPr>
              <w:t>[content redacted]</w:t>
            </w:r>
          </w:p>
        </w:tc>
      </w:tr>
      <w:tr w:rsidR="00AE4EB6" w:rsidRPr="00285E0D" w:rsidTr="0030409F">
        <w:trPr>
          <w:trHeight w:val="233"/>
        </w:trPr>
        <w:tc>
          <w:tcPr>
            <w:tcW w:w="3028" w:type="dxa"/>
            <w:gridSpan w:val="2"/>
            <w:tcBorders>
              <w:bottom w:val="single" w:sz="4" w:space="0" w:color="auto"/>
            </w:tcBorders>
          </w:tcPr>
          <w:p w:rsidR="00AE4EB6" w:rsidRPr="00285E0D" w:rsidRDefault="00AC40D8" w:rsidP="00285E0D">
            <w:pPr>
              <w:spacing w:before="120" w:after="120"/>
              <w:rPr>
                <w:b/>
                <w:sz w:val="20"/>
                <w:szCs w:val="20"/>
              </w:rPr>
            </w:pPr>
            <w:r>
              <w:rPr>
                <w:b/>
                <w:sz w:val="20"/>
                <w:szCs w:val="20"/>
              </w:rPr>
              <w:t>Date:</w:t>
            </w:r>
          </w:p>
        </w:tc>
        <w:tc>
          <w:tcPr>
            <w:tcW w:w="6692" w:type="dxa"/>
            <w:tcBorders>
              <w:bottom w:val="single" w:sz="4" w:space="0" w:color="auto"/>
            </w:tcBorders>
            <w:shd w:val="clear" w:color="auto" w:fill="auto"/>
          </w:tcPr>
          <w:p w:rsidR="00AE4EB6" w:rsidRPr="00285E0D" w:rsidRDefault="004524A5" w:rsidP="00285E0D">
            <w:pPr>
              <w:spacing w:before="120" w:after="120"/>
              <w:rPr>
                <w:sz w:val="20"/>
                <w:szCs w:val="20"/>
              </w:rPr>
            </w:pPr>
            <w:r>
              <w:rPr>
                <w:sz w:val="20"/>
                <w:szCs w:val="20"/>
              </w:rPr>
              <w:t>18/3/2016</w:t>
            </w:r>
          </w:p>
        </w:tc>
      </w:tr>
      <w:tr w:rsidR="00A27C27" w:rsidRPr="001C2D67" w:rsidTr="00110360">
        <w:trPr>
          <w:tblHeader/>
        </w:trPr>
        <w:tc>
          <w:tcPr>
            <w:tcW w:w="9720" w:type="dxa"/>
            <w:gridSpan w:val="3"/>
            <w:tcBorders>
              <w:bottom w:val="single" w:sz="4" w:space="0" w:color="auto"/>
            </w:tcBorders>
            <w:shd w:val="clear" w:color="auto" w:fill="95B3D7" w:themeFill="accent1" w:themeFillTint="99"/>
          </w:tcPr>
          <w:p w:rsidR="00A27C27" w:rsidRPr="00285E0D" w:rsidRDefault="0045703F" w:rsidP="00AD18D4">
            <w:pPr>
              <w:spacing w:before="120" w:after="120"/>
              <w:rPr>
                <w:b/>
              </w:rPr>
            </w:pPr>
            <w:r>
              <w:rPr>
                <w:b/>
              </w:rPr>
              <w:t xml:space="preserve"> Pharmacy </w:t>
            </w:r>
            <w:r w:rsidR="003E6BB1">
              <w:rPr>
                <w:b/>
              </w:rPr>
              <w:t xml:space="preserve">Board </w:t>
            </w:r>
            <w:r w:rsidR="00AD18D4" w:rsidRPr="00AD18D4">
              <w:rPr>
                <w:b/>
              </w:rPr>
              <w:t xml:space="preserve">review of guidance on expiry of compounded parenteral medicines </w:t>
            </w:r>
            <w:r w:rsidR="00AD18D4">
              <w:rPr>
                <w:b/>
              </w:rPr>
              <w:t>-</w:t>
            </w:r>
            <w:r w:rsidR="00AD18D4" w:rsidRPr="00AD18D4">
              <w:rPr>
                <w:b/>
              </w:rPr>
              <w:t xml:space="preserve"> Guidelines on compounding of medicines</w:t>
            </w:r>
          </w:p>
        </w:tc>
      </w:tr>
      <w:tr w:rsidR="0030409F" w:rsidRPr="001C2D67" w:rsidTr="00110360">
        <w:trPr>
          <w:tblHeader/>
        </w:trPr>
        <w:tc>
          <w:tcPr>
            <w:tcW w:w="9720" w:type="dxa"/>
            <w:gridSpan w:val="3"/>
            <w:tcBorders>
              <w:bottom w:val="single" w:sz="4" w:space="0" w:color="auto"/>
            </w:tcBorders>
            <w:shd w:val="clear" w:color="auto" w:fill="95B3D7" w:themeFill="accent1" w:themeFillTint="99"/>
          </w:tcPr>
          <w:p w:rsidR="0030409F" w:rsidRPr="00285E0D" w:rsidRDefault="0030409F" w:rsidP="008E5592">
            <w:pPr>
              <w:spacing w:before="120" w:after="120"/>
              <w:rPr>
                <w:b/>
              </w:rPr>
            </w:pPr>
            <w:r>
              <w:rPr>
                <w:b/>
              </w:rPr>
              <w:t>Name of National Board:</w:t>
            </w:r>
            <w:r w:rsidR="007053B3">
              <w:rPr>
                <w:b/>
              </w:rPr>
              <w:t xml:space="preserve"> </w:t>
            </w:r>
            <w:r w:rsidR="0045703F">
              <w:rPr>
                <w:b/>
              </w:rPr>
              <w:t>Pharmacy Board of Australia</w:t>
            </w:r>
          </w:p>
        </w:tc>
      </w:tr>
      <w:tr w:rsidR="00A27C27" w:rsidRPr="001C2D67" w:rsidTr="008635AB">
        <w:trPr>
          <w:tblHeader/>
        </w:trPr>
        <w:tc>
          <w:tcPr>
            <w:tcW w:w="2912" w:type="dxa"/>
            <w:shd w:val="clear" w:color="auto" w:fill="C0C0C0"/>
          </w:tcPr>
          <w:p w:rsidR="00A27C27" w:rsidRPr="00285E0D" w:rsidRDefault="00934395" w:rsidP="00285E0D">
            <w:pPr>
              <w:spacing w:before="120" w:after="60"/>
              <w:rPr>
                <w:b/>
                <w:sz w:val="22"/>
                <w:szCs w:val="22"/>
              </w:rPr>
            </w:pPr>
            <w:r w:rsidRPr="00285E0D">
              <w:rPr>
                <w:b/>
                <w:sz w:val="22"/>
                <w:szCs w:val="22"/>
              </w:rPr>
              <w:t>Principle</w:t>
            </w:r>
          </w:p>
        </w:tc>
        <w:tc>
          <w:tcPr>
            <w:tcW w:w="6808" w:type="dxa"/>
            <w:gridSpan w:val="2"/>
            <w:shd w:val="clear" w:color="auto" w:fill="C0C0C0"/>
          </w:tcPr>
          <w:p w:rsidR="00A27C27" w:rsidRPr="00285E0D" w:rsidRDefault="00AE4EB6" w:rsidP="00285E0D">
            <w:pPr>
              <w:spacing w:before="120" w:after="60"/>
              <w:rPr>
                <w:b/>
                <w:sz w:val="22"/>
                <w:szCs w:val="22"/>
              </w:rPr>
            </w:pPr>
            <w:r w:rsidRPr="00285E0D">
              <w:rPr>
                <w:b/>
                <w:sz w:val="22"/>
                <w:szCs w:val="22"/>
              </w:rPr>
              <w:t>C</w:t>
            </w:r>
            <w:r w:rsidR="00934395" w:rsidRPr="00285E0D">
              <w:rPr>
                <w:b/>
                <w:sz w:val="22"/>
                <w:szCs w:val="22"/>
              </w:rPr>
              <w:t>omments</w:t>
            </w:r>
          </w:p>
        </w:tc>
      </w:tr>
      <w:tr w:rsidR="008F4639" w:rsidRPr="00285E0D" w:rsidTr="008635AB">
        <w:tc>
          <w:tcPr>
            <w:tcW w:w="2912" w:type="dxa"/>
          </w:tcPr>
          <w:p w:rsidR="008F4639" w:rsidRPr="00285E0D" w:rsidRDefault="00AD18D4" w:rsidP="00285E0D">
            <w:pPr>
              <w:spacing w:before="120" w:after="120"/>
              <w:rPr>
                <w:b/>
                <w:sz w:val="20"/>
                <w:szCs w:val="20"/>
              </w:rPr>
            </w:pPr>
            <w:r w:rsidRPr="00AD18D4">
              <w:rPr>
                <w:b/>
                <w:sz w:val="20"/>
                <w:szCs w:val="20"/>
              </w:rPr>
              <w:t>1.</w:t>
            </w:r>
            <w:r w:rsidRPr="00AD18D4">
              <w:rPr>
                <w:b/>
                <w:sz w:val="20"/>
                <w:szCs w:val="20"/>
              </w:rPr>
              <w:tab/>
              <w:t>Has the proposed guidance been expressed clearly?</w:t>
            </w:r>
          </w:p>
        </w:tc>
        <w:tc>
          <w:tcPr>
            <w:tcW w:w="6808" w:type="dxa"/>
            <w:gridSpan w:val="2"/>
          </w:tcPr>
          <w:p w:rsidR="00AA4B9C" w:rsidRDefault="00F22910" w:rsidP="008357D7">
            <w:pPr>
              <w:spacing w:before="40" w:after="40"/>
              <w:rPr>
                <w:rFonts w:cs="Arial"/>
                <w:color w:val="000000"/>
                <w:sz w:val="20"/>
                <w:szCs w:val="20"/>
                <w:lang w:eastAsia="en-AU"/>
              </w:rPr>
            </w:pPr>
            <w:r>
              <w:rPr>
                <w:rFonts w:cs="Arial"/>
                <w:color w:val="000000"/>
                <w:sz w:val="20"/>
                <w:szCs w:val="20"/>
                <w:lang w:eastAsia="en-AU"/>
              </w:rPr>
              <w:t xml:space="preserve">The section on </w:t>
            </w:r>
            <w:r w:rsidR="00AA4B9C">
              <w:rPr>
                <w:rFonts w:cs="Arial"/>
                <w:color w:val="000000"/>
                <w:sz w:val="20"/>
                <w:szCs w:val="20"/>
                <w:lang w:eastAsia="en-AU"/>
              </w:rPr>
              <w:t>Complia</w:t>
            </w:r>
            <w:r>
              <w:rPr>
                <w:rFonts w:cs="Arial"/>
                <w:color w:val="000000"/>
                <w:sz w:val="20"/>
                <w:szCs w:val="20"/>
                <w:lang w:eastAsia="en-AU"/>
              </w:rPr>
              <w:t>nce with legislation, good practice guides</w:t>
            </w:r>
            <w:r w:rsidR="00AA4B9C">
              <w:rPr>
                <w:rFonts w:cs="Arial"/>
                <w:color w:val="000000"/>
                <w:sz w:val="20"/>
                <w:szCs w:val="20"/>
                <w:lang w:eastAsia="en-AU"/>
              </w:rPr>
              <w:t xml:space="preserve"> and practi</w:t>
            </w:r>
            <w:r>
              <w:rPr>
                <w:rFonts w:cs="Arial"/>
                <w:color w:val="000000"/>
                <w:sz w:val="20"/>
                <w:szCs w:val="20"/>
                <w:lang w:eastAsia="en-AU"/>
              </w:rPr>
              <w:t>ce standards could be made clearer</w:t>
            </w:r>
            <w:r w:rsidR="00AA4B9C">
              <w:rPr>
                <w:rFonts w:cs="Arial"/>
                <w:color w:val="000000"/>
                <w:sz w:val="20"/>
                <w:szCs w:val="20"/>
                <w:lang w:eastAsia="en-AU"/>
              </w:rPr>
              <w:t xml:space="preserve">. </w:t>
            </w:r>
            <w:r>
              <w:rPr>
                <w:rFonts w:cs="Arial"/>
                <w:color w:val="000000"/>
                <w:sz w:val="20"/>
                <w:szCs w:val="20"/>
                <w:lang w:eastAsia="en-AU"/>
              </w:rPr>
              <w:t>I would like to see it more clearly expressed as to which practice standard is applicable to which setting rather than leaving it up to the individual pharmacist who may take the softest option. The PICS Guide for Good M</w:t>
            </w:r>
            <w:r w:rsidR="00AA4B9C">
              <w:rPr>
                <w:rFonts w:cs="Arial"/>
                <w:color w:val="000000"/>
                <w:sz w:val="20"/>
                <w:szCs w:val="20"/>
                <w:lang w:eastAsia="en-AU"/>
              </w:rPr>
              <w:t xml:space="preserve">anufacturing </w:t>
            </w:r>
            <w:r>
              <w:rPr>
                <w:rFonts w:cs="Arial"/>
                <w:color w:val="000000"/>
                <w:sz w:val="20"/>
                <w:szCs w:val="20"/>
                <w:lang w:eastAsia="en-AU"/>
              </w:rPr>
              <w:t>Practice of Medicinal P</w:t>
            </w:r>
            <w:r w:rsidR="00AA4B9C">
              <w:rPr>
                <w:rFonts w:cs="Arial"/>
                <w:color w:val="000000"/>
                <w:sz w:val="20"/>
                <w:szCs w:val="20"/>
                <w:lang w:eastAsia="en-AU"/>
              </w:rPr>
              <w:t>roducts</w:t>
            </w:r>
            <w:r>
              <w:rPr>
                <w:rFonts w:cs="Arial"/>
                <w:color w:val="000000"/>
                <w:sz w:val="20"/>
                <w:szCs w:val="20"/>
                <w:lang w:eastAsia="en-AU"/>
              </w:rPr>
              <w:t xml:space="preserve"> should not be listed here as an option as the document is about compounding (on prescription) not manufacturing. It is</w:t>
            </w:r>
            <w:r w:rsidR="00AA4B9C">
              <w:rPr>
                <w:rFonts w:cs="Arial"/>
                <w:color w:val="000000"/>
                <w:sz w:val="20"/>
                <w:szCs w:val="20"/>
                <w:lang w:eastAsia="en-AU"/>
              </w:rPr>
              <w:t xml:space="preserve"> unlikely</w:t>
            </w:r>
            <w:r>
              <w:rPr>
                <w:rFonts w:cs="Arial"/>
                <w:color w:val="000000"/>
                <w:sz w:val="20"/>
                <w:szCs w:val="20"/>
                <w:lang w:eastAsia="en-AU"/>
              </w:rPr>
              <w:t xml:space="preserve"> and inappropriate to be used by non TGA licensed compounding chemists as they shoul</w:t>
            </w:r>
            <w:r w:rsidR="004B54D9">
              <w:rPr>
                <w:rFonts w:cs="Arial"/>
                <w:color w:val="000000"/>
                <w:sz w:val="20"/>
                <w:szCs w:val="20"/>
                <w:lang w:eastAsia="en-AU"/>
              </w:rPr>
              <w:t>d not be manufacturing (only compounding)</w:t>
            </w:r>
            <w:r w:rsidR="00D96BB9">
              <w:rPr>
                <w:rFonts w:cs="Arial"/>
                <w:color w:val="000000"/>
                <w:sz w:val="20"/>
                <w:szCs w:val="20"/>
                <w:lang w:eastAsia="en-AU"/>
              </w:rPr>
              <w:t xml:space="preserve">  </w:t>
            </w:r>
          </w:p>
          <w:p w:rsidR="00D96BB9" w:rsidRDefault="00D96BB9" w:rsidP="008357D7">
            <w:pPr>
              <w:spacing w:before="40" w:after="40"/>
              <w:rPr>
                <w:rFonts w:cs="Arial"/>
                <w:color w:val="000000"/>
                <w:sz w:val="20"/>
                <w:szCs w:val="20"/>
                <w:lang w:eastAsia="en-AU"/>
              </w:rPr>
            </w:pPr>
          </w:p>
          <w:p w:rsidR="00AA4B9C" w:rsidRDefault="00F22910" w:rsidP="008357D7">
            <w:pPr>
              <w:spacing w:before="40" w:after="40"/>
              <w:rPr>
                <w:rFonts w:cs="Arial"/>
                <w:color w:val="000000"/>
                <w:sz w:val="20"/>
                <w:szCs w:val="20"/>
                <w:lang w:eastAsia="en-AU"/>
              </w:rPr>
            </w:pPr>
            <w:r>
              <w:rPr>
                <w:rFonts w:cs="Arial"/>
                <w:color w:val="000000"/>
                <w:sz w:val="20"/>
                <w:szCs w:val="20"/>
                <w:lang w:eastAsia="en-AU"/>
              </w:rPr>
              <w:t xml:space="preserve">The </w:t>
            </w:r>
            <w:r w:rsidR="00AA4B9C">
              <w:rPr>
                <w:rFonts w:cs="Arial"/>
                <w:color w:val="000000"/>
                <w:sz w:val="20"/>
                <w:szCs w:val="20"/>
                <w:lang w:eastAsia="en-AU"/>
              </w:rPr>
              <w:t>USP</w:t>
            </w:r>
            <w:r>
              <w:rPr>
                <w:rFonts w:cs="Arial"/>
                <w:color w:val="000000"/>
                <w:sz w:val="20"/>
                <w:szCs w:val="20"/>
                <w:lang w:eastAsia="en-AU"/>
              </w:rPr>
              <w:t>-NF</w:t>
            </w:r>
            <w:r w:rsidR="00AA4B9C">
              <w:rPr>
                <w:rFonts w:cs="Arial"/>
                <w:color w:val="000000"/>
                <w:sz w:val="20"/>
                <w:szCs w:val="20"/>
                <w:lang w:eastAsia="en-AU"/>
              </w:rPr>
              <w:t xml:space="preserve"> 797</w:t>
            </w:r>
            <w:r>
              <w:rPr>
                <w:rFonts w:cs="Arial"/>
                <w:color w:val="000000"/>
                <w:sz w:val="20"/>
                <w:szCs w:val="20"/>
                <w:lang w:eastAsia="en-AU"/>
              </w:rPr>
              <w:t xml:space="preserve"> is</w:t>
            </w:r>
            <w:r w:rsidR="00AA4B9C">
              <w:rPr>
                <w:rFonts w:cs="Arial"/>
                <w:color w:val="000000"/>
                <w:sz w:val="20"/>
                <w:szCs w:val="20"/>
                <w:lang w:eastAsia="en-AU"/>
              </w:rPr>
              <w:t xml:space="preserve"> a</w:t>
            </w:r>
            <w:r>
              <w:rPr>
                <w:rFonts w:cs="Arial"/>
                <w:color w:val="000000"/>
                <w:sz w:val="20"/>
                <w:szCs w:val="20"/>
                <w:lang w:eastAsia="en-AU"/>
              </w:rPr>
              <w:t xml:space="preserve">ppropriate for all settings and suggest just </w:t>
            </w:r>
            <w:r w:rsidR="001308E6">
              <w:rPr>
                <w:rFonts w:cs="Arial"/>
                <w:color w:val="000000"/>
                <w:sz w:val="20"/>
                <w:szCs w:val="20"/>
                <w:lang w:eastAsia="en-AU"/>
              </w:rPr>
              <w:t>giving</w:t>
            </w:r>
            <w:r w:rsidR="00D96BB9">
              <w:rPr>
                <w:rFonts w:cs="Arial"/>
                <w:color w:val="000000"/>
                <w:sz w:val="20"/>
                <w:szCs w:val="20"/>
                <w:lang w:eastAsia="en-AU"/>
              </w:rPr>
              <w:t xml:space="preserve"> this recommendation</w:t>
            </w:r>
            <w:r w:rsidR="00AA4B9C">
              <w:rPr>
                <w:rFonts w:cs="Arial"/>
                <w:color w:val="000000"/>
                <w:sz w:val="20"/>
                <w:szCs w:val="20"/>
                <w:lang w:eastAsia="en-AU"/>
              </w:rPr>
              <w:t>.</w:t>
            </w:r>
          </w:p>
          <w:p w:rsidR="00D96BB9" w:rsidRDefault="00D96BB9" w:rsidP="008357D7">
            <w:pPr>
              <w:spacing w:before="40" w:after="40"/>
              <w:rPr>
                <w:rFonts w:cs="Arial"/>
                <w:color w:val="000000"/>
                <w:sz w:val="20"/>
                <w:szCs w:val="20"/>
                <w:lang w:eastAsia="en-AU"/>
              </w:rPr>
            </w:pPr>
          </w:p>
          <w:p w:rsidR="00D96BB9" w:rsidRDefault="00D96BB9" w:rsidP="008357D7">
            <w:pPr>
              <w:spacing w:before="40" w:after="40"/>
              <w:rPr>
                <w:rFonts w:cs="Arial"/>
                <w:color w:val="000000"/>
                <w:sz w:val="20"/>
                <w:szCs w:val="20"/>
                <w:lang w:eastAsia="en-AU"/>
              </w:rPr>
            </w:pPr>
            <w:r>
              <w:rPr>
                <w:rFonts w:cs="Arial"/>
                <w:color w:val="000000"/>
                <w:sz w:val="20"/>
                <w:szCs w:val="20"/>
                <w:lang w:eastAsia="en-AU"/>
              </w:rPr>
              <w:t xml:space="preserve">Document needs to be clearer as to which ‘standard’ to self audit </w:t>
            </w:r>
            <w:r w:rsidR="00AA4B9C">
              <w:rPr>
                <w:rFonts w:cs="Arial"/>
                <w:color w:val="000000"/>
                <w:sz w:val="20"/>
                <w:szCs w:val="20"/>
                <w:lang w:eastAsia="en-AU"/>
              </w:rPr>
              <w:t>against.</w:t>
            </w:r>
            <w:r>
              <w:rPr>
                <w:rFonts w:cs="Arial"/>
                <w:color w:val="000000"/>
                <w:sz w:val="20"/>
                <w:szCs w:val="20"/>
                <w:lang w:eastAsia="en-AU"/>
              </w:rPr>
              <w:t xml:space="preserve">  </w:t>
            </w:r>
          </w:p>
          <w:p w:rsidR="00D96BB9" w:rsidRDefault="00D96BB9" w:rsidP="008357D7">
            <w:pPr>
              <w:spacing w:before="40" w:after="40"/>
              <w:rPr>
                <w:rFonts w:cs="Arial"/>
                <w:color w:val="000000"/>
                <w:sz w:val="20"/>
                <w:szCs w:val="20"/>
                <w:lang w:eastAsia="en-AU"/>
              </w:rPr>
            </w:pPr>
          </w:p>
          <w:p w:rsidR="00D96BB9" w:rsidRDefault="00D96BB9" w:rsidP="008357D7">
            <w:pPr>
              <w:spacing w:before="40" w:after="40"/>
              <w:rPr>
                <w:rFonts w:cs="Arial"/>
                <w:color w:val="000000"/>
                <w:sz w:val="20"/>
                <w:szCs w:val="20"/>
                <w:lang w:eastAsia="en-AU"/>
              </w:rPr>
            </w:pPr>
            <w:r>
              <w:rPr>
                <w:rFonts w:cs="Arial"/>
                <w:color w:val="000000"/>
                <w:sz w:val="20"/>
                <w:szCs w:val="20"/>
                <w:lang w:eastAsia="en-AU"/>
              </w:rPr>
              <w:t>Terminology is used interchangeably. First line says ‘</w:t>
            </w:r>
            <w:r w:rsidR="00AA4B9C">
              <w:rPr>
                <w:rFonts w:cs="Arial"/>
                <w:color w:val="000000"/>
                <w:sz w:val="20"/>
                <w:szCs w:val="20"/>
                <w:lang w:eastAsia="en-AU"/>
              </w:rPr>
              <w:t>standards</w:t>
            </w:r>
            <w:r>
              <w:rPr>
                <w:rFonts w:cs="Arial"/>
                <w:color w:val="000000"/>
                <w:sz w:val="20"/>
                <w:szCs w:val="20"/>
                <w:lang w:eastAsia="en-AU"/>
              </w:rPr>
              <w:t>’</w:t>
            </w:r>
            <w:r w:rsidR="00AA4B9C">
              <w:rPr>
                <w:rFonts w:cs="Arial"/>
                <w:color w:val="000000"/>
                <w:sz w:val="20"/>
                <w:szCs w:val="20"/>
                <w:lang w:eastAsia="en-AU"/>
              </w:rPr>
              <w:t xml:space="preserve">, second line says </w:t>
            </w:r>
            <w:r>
              <w:rPr>
                <w:rFonts w:cs="Arial"/>
                <w:color w:val="000000"/>
                <w:sz w:val="20"/>
                <w:szCs w:val="20"/>
                <w:lang w:eastAsia="en-AU"/>
              </w:rPr>
              <w:t xml:space="preserve">practice </w:t>
            </w:r>
            <w:r w:rsidR="00AA4B9C">
              <w:rPr>
                <w:rFonts w:cs="Arial"/>
                <w:color w:val="000000"/>
                <w:sz w:val="20"/>
                <w:szCs w:val="20"/>
                <w:lang w:eastAsia="en-AU"/>
              </w:rPr>
              <w:t>standards and guidelines and l</w:t>
            </w:r>
            <w:r>
              <w:rPr>
                <w:rFonts w:cs="Arial"/>
                <w:color w:val="000000"/>
                <w:sz w:val="20"/>
                <w:szCs w:val="20"/>
                <w:lang w:eastAsia="en-AU"/>
              </w:rPr>
              <w:t>egislation. Needs to be consistent.</w:t>
            </w:r>
          </w:p>
          <w:p w:rsidR="00D96BB9" w:rsidRDefault="00D96BB9" w:rsidP="008357D7">
            <w:pPr>
              <w:spacing w:before="40" w:after="40"/>
              <w:rPr>
                <w:rFonts w:cs="Arial"/>
                <w:color w:val="000000"/>
                <w:sz w:val="20"/>
                <w:szCs w:val="20"/>
                <w:lang w:eastAsia="en-AU"/>
              </w:rPr>
            </w:pPr>
          </w:p>
          <w:p w:rsidR="00D96BB9" w:rsidRDefault="00D96BB9" w:rsidP="008357D7">
            <w:pPr>
              <w:spacing w:before="40" w:after="40"/>
              <w:rPr>
                <w:rFonts w:cs="Arial"/>
                <w:color w:val="000000"/>
                <w:sz w:val="20"/>
                <w:szCs w:val="20"/>
                <w:lang w:eastAsia="en-AU"/>
              </w:rPr>
            </w:pPr>
            <w:r>
              <w:rPr>
                <w:rFonts w:cs="Arial"/>
                <w:color w:val="000000"/>
                <w:sz w:val="20"/>
                <w:szCs w:val="20"/>
                <w:lang w:eastAsia="en-AU"/>
              </w:rPr>
              <w:t>Need to p</w:t>
            </w:r>
            <w:r w:rsidR="00AA4B9C">
              <w:rPr>
                <w:rFonts w:cs="Arial"/>
                <w:color w:val="000000"/>
                <w:sz w:val="20"/>
                <w:szCs w:val="20"/>
                <w:lang w:eastAsia="en-AU"/>
              </w:rPr>
              <w:t>rovi</w:t>
            </w:r>
            <w:r>
              <w:rPr>
                <w:rFonts w:cs="Arial"/>
                <w:color w:val="000000"/>
                <w:sz w:val="20"/>
                <w:szCs w:val="20"/>
                <w:lang w:eastAsia="en-AU"/>
              </w:rPr>
              <w:t>de guidance on ‘third party ass</w:t>
            </w:r>
            <w:r w:rsidR="00AA4B9C">
              <w:rPr>
                <w:rFonts w:cs="Arial"/>
                <w:color w:val="000000"/>
                <w:sz w:val="20"/>
                <w:szCs w:val="20"/>
                <w:lang w:eastAsia="en-AU"/>
              </w:rPr>
              <w:t>essors</w:t>
            </w:r>
            <w:r w:rsidR="004B54D9">
              <w:rPr>
                <w:rFonts w:cs="Arial"/>
                <w:color w:val="000000"/>
                <w:sz w:val="20"/>
                <w:szCs w:val="20"/>
                <w:lang w:eastAsia="en-AU"/>
              </w:rPr>
              <w:t>.</w:t>
            </w:r>
            <w:r w:rsidR="00AA4B9C">
              <w:rPr>
                <w:rFonts w:cs="Arial"/>
                <w:color w:val="000000"/>
                <w:sz w:val="20"/>
                <w:szCs w:val="20"/>
                <w:lang w:eastAsia="en-AU"/>
              </w:rPr>
              <w:t>’</w:t>
            </w:r>
            <w:r>
              <w:rPr>
                <w:rFonts w:cs="Arial"/>
                <w:color w:val="000000"/>
                <w:sz w:val="20"/>
                <w:szCs w:val="20"/>
                <w:lang w:eastAsia="en-AU"/>
              </w:rPr>
              <w:t xml:space="preserve"> How are they accessed? What qualifications and expertise do they require?</w:t>
            </w:r>
            <w:r w:rsidR="00AA4B9C">
              <w:rPr>
                <w:rFonts w:cs="Arial"/>
                <w:color w:val="000000"/>
                <w:sz w:val="20"/>
                <w:szCs w:val="20"/>
                <w:lang w:eastAsia="en-AU"/>
              </w:rPr>
              <w:t xml:space="preserve"> Who /what</w:t>
            </w:r>
            <w:r>
              <w:rPr>
                <w:rFonts w:cs="Arial"/>
                <w:color w:val="000000"/>
                <w:sz w:val="20"/>
                <w:szCs w:val="20"/>
                <w:lang w:eastAsia="en-AU"/>
              </w:rPr>
              <w:t xml:space="preserve"> body ensures or validates</w:t>
            </w:r>
            <w:r w:rsidR="00AA4B9C">
              <w:rPr>
                <w:rFonts w:cs="Arial"/>
                <w:color w:val="000000"/>
                <w:sz w:val="20"/>
                <w:szCs w:val="20"/>
                <w:lang w:eastAsia="en-AU"/>
              </w:rPr>
              <w:t xml:space="preserve"> the</w:t>
            </w:r>
            <w:r>
              <w:rPr>
                <w:rFonts w:cs="Arial"/>
                <w:color w:val="000000"/>
                <w:sz w:val="20"/>
                <w:szCs w:val="20"/>
                <w:lang w:eastAsia="en-AU"/>
              </w:rPr>
              <w:t>ir expertise?</w:t>
            </w:r>
          </w:p>
          <w:p w:rsidR="00AA4B9C" w:rsidRDefault="00AA4B9C" w:rsidP="008357D7">
            <w:pPr>
              <w:spacing w:before="40" w:after="40"/>
              <w:rPr>
                <w:rFonts w:cs="Arial"/>
                <w:color w:val="000000"/>
                <w:sz w:val="20"/>
                <w:szCs w:val="20"/>
                <w:lang w:eastAsia="en-AU"/>
              </w:rPr>
            </w:pPr>
          </w:p>
          <w:p w:rsidR="00AA4B9C" w:rsidRDefault="00D96BB9" w:rsidP="008357D7">
            <w:pPr>
              <w:spacing w:before="40" w:after="40"/>
              <w:rPr>
                <w:rFonts w:cs="Arial"/>
                <w:color w:val="000000"/>
                <w:sz w:val="20"/>
                <w:szCs w:val="20"/>
                <w:lang w:eastAsia="en-AU"/>
              </w:rPr>
            </w:pPr>
            <w:r>
              <w:rPr>
                <w:rFonts w:cs="Arial"/>
                <w:color w:val="000000"/>
                <w:sz w:val="20"/>
                <w:szCs w:val="20"/>
                <w:lang w:eastAsia="en-AU"/>
              </w:rPr>
              <w:t>Where there is no curren</w:t>
            </w:r>
            <w:r w:rsidR="00936AA5">
              <w:rPr>
                <w:rFonts w:cs="Arial"/>
                <w:color w:val="000000"/>
                <w:sz w:val="20"/>
                <w:szCs w:val="20"/>
                <w:lang w:eastAsia="en-AU"/>
              </w:rPr>
              <w:t>t jurisd</w:t>
            </w:r>
            <w:r>
              <w:rPr>
                <w:rFonts w:cs="Arial"/>
                <w:color w:val="000000"/>
                <w:sz w:val="20"/>
                <w:szCs w:val="20"/>
                <w:lang w:eastAsia="en-AU"/>
              </w:rPr>
              <w:t>ictional</w:t>
            </w:r>
            <w:r w:rsidR="004B54D9">
              <w:rPr>
                <w:rFonts w:cs="Arial"/>
                <w:color w:val="000000"/>
                <w:sz w:val="20"/>
                <w:szCs w:val="20"/>
                <w:lang w:eastAsia="en-AU"/>
              </w:rPr>
              <w:t xml:space="preserve"> representative</w:t>
            </w:r>
            <w:r>
              <w:rPr>
                <w:rFonts w:cs="Arial"/>
                <w:color w:val="000000"/>
                <w:sz w:val="20"/>
                <w:szCs w:val="20"/>
                <w:lang w:eastAsia="en-AU"/>
              </w:rPr>
              <w:t xml:space="preserve"> </w:t>
            </w:r>
            <w:r w:rsidR="004B54D9">
              <w:rPr>
                <w:rFonts w:cs="Arial"/>
                <w:color w:val="000000"/>
                <w:sz w:val="20"/>
                <w:szCs w:val="20"/>
                <w:lang w:eastAsia="en-AU"/>
              </w:rPr>
              <w:t xml:space="preserve">assessing or </w:t>
            </w:r>
            <w:r>
              <w:rPr>
                <w:rFonts w:cs="Arial"/>
                <w:color w:val="000000"/>
                <w:sz w:val="20"/>
                <w:szCs w:val="20"/>
                <w:lang w:eastAsia="en-AU"/>
              </w:rPr>
              <w:t>ensuring compliance</w:t>
            </w:r>
            <w:r w:rsidR="004B54D9">
              <w:rPr>
                <w:rFonts w:cs="Arial"/>
                <w:color w:val="000000"/>
                <w:sz w:val="20"/>
                <w:szCs w:val="20"/>
                <w:lang w:eastAsia="en-AU"/>
              </w:rPr>
              <w:t xml:space="preserve"> of facilities</w:t>
            </w:r>
            <w:r w:rsidR="00936AA5">
              <w:rPr>
                <w:rFonts w:cs="Arial"/>
                <w:color w:val="000000"/>
                <w:sz w:val="20"/>
                <w:szCs w:val="20"/>
                <w:lang w:eastAsia="en-AU"/>
              </w:rPr>
              <w:t>, self assessment</w:t>
            </w:r>
            <w:r>
              <w:rPr>
                <w:rFonts w:cs="Arial"/>
                <w:color w:val="000000"/>
                <w:sz w:val="20"/>
                <w:szCs w:val="20"/>
                <w:lang w:eastAsia="en-AU"/>
              </w:rPr>
              <w:t xml:space="preserve"> is not sufficient</w:t>
            </w:r>
            <w:r w:rsidR="00936AA5">
              <w:rPr>
                <w:rFonts w:cs="Arial"/>
                <w:color w:val="000000"/>
                <w:sz w:val="20"/>
                <w:szCs w:val="20"/>
                <w:lang w:eastAsia="en-AU"/>
              </w:rPr>
              <w:t xml:space="preserve"> to p</w:t>
            </w:r>
            <w:r>
              <w:rPr>
                <w:rFonts w:cs="Arial"/>
                <w:color w:val="000000"/>
                <w:sz w:val="20"/>
                <w:szCs w:val="20"/>
                <w:lang w:eastAsia="en-AU"/>
              </w:rPr>
              <w:t>rotect the safety of the public when expiry dates extended.</w:t>
            </w:r>
          </w:p>
          <w:p w:rsidR="00D96BB9" w:rsidRDefault="00D96BB9" w:rsidP="008357D7">
            <w:pPr>
              <w:spacing w:before="40" w:after="40"/>
              <w:rPr>
                <w:rFonts w:cs="Arial"/>
                <w:color w:val="000000"/>
                <w:sz w:val="20"/>
                <w:szCs w:val="20"/>
                <w:lang w:eastAsia="en-AU"/>
              </w:rPr>
            </w:pPr>
          </w:p>
          <w:p w:rsidR="00936AA5" w:rsidRDefault="00D96BB9" w:rsidP="008357D7">
            <w:pPr>
              <w:spacing w:before="40" w:after="40"/>
              <w:rPr>
                <w:rFonts w:cs="Arial"/>
                <w:color w:val="000000"/>
                <w:sz w:val="20"/>
                <w:szCs w:val="20"/>
                <w:lang w:eastAsia="en-AU"/>
              </w:rPr>
            </w:pPr>
            <w:r>
              <w:rPr>
                <w:rFonts w:cs="Arial"/>
                <w:color w:val="000000"/>
                <w:sz w:val="20"/>
                <w:szCs w:val="20"/>
                <w:lang w:eastAsia="en-AU"/>
              </w:rPr>
              <w:t>Assigning extended expiry dates</w:t>
            </w:r>
            <w:r w:rsidR="00936AA5">
              <w:rPr>
                <w:rFonts w:cs="Arial"/>
                <w:color w:val="000000"/>
                <w:sz w:val="20"/>
                <w:szCs w:val="20"/>
                <w:lang w:eastAsia="en-AU"/>
              </w:rPr>
              <w:t xml:space="preserve"> must be in ac</w:t>
            </w:r>
            <w:r>
              <w:rPr>
                <w:rFonts w:cs="Arial"/>
                <w:color w:val="000000"/>
                <w:sz w:val="20"/>
                <w:szCs w:val="20"/>
                <w:lang w:eastAsia="en-AU"/>
              </w:rPr>
              <w:t>cordance with US</w:t>
            </w:r>
            <w:r w:rsidR="00936AA5">
              <w:rPr>
                <w:rFonts w:cs="Arial"/>
                <w:color w:val="000000"/>
                <w:sz w:val="20"/>
                <w:szCs w:val="20"/>
                <w:lang w:eastAsia="en-AU"/>
              </w:rPr>
              <w:t>P 797, (only option) but softer options</w:t>
            </w:r>
            <w:r>
              <w:rPr>
                <w:rFonts w:cs="Arial"/>
                <w:color w:val="000000"/>
                <w:sz w:val="20"/>
                <w:szCs w:val="20"/>
                <w:lang w:eastAsia="en-AU"/>
              </w:rPr>
              <w:t xml:space="preserve"> are provided for adherence to guidelines</w:t>
            </w:r>
            <w:r w:rsidR="00936AA5">
              <w:rPr>
                <w:rFonts w:cs="Arial"/>
                <w:color w:val="000000"/>
                <w:sz w:val="20"/>
                <w:szCs w:val="20"/>
                <w:lang w:eastAsia="en-AU"/>
              </w:rPr>
              <w:t xml:space="preserve"> when compounding. Why no</w:t>
            </w:r>
            <w:r>
              <w:rPr>
                <w:rFonts w:cs="Arial"/>
                <w:color w:val="000000"/>
                <w:sz w:val="20"/>
                <w:szCs w:val="20"/>
                <w:lang w:eastAsia="en-AU"/>
              </w:rPr>
              <w:t>t just make compliance with 797</w:t>
            </w:r>
            <w:r w:rsidR="00936AA5">
              <w:rPr>
                <w:rFonts w:cs="Arial"/>
                <w:color w:val="000000"/>
                <w:sz w:val="20"/>
                <w:szCs w:val="20"/>
                <w:lang w:eastAsia="en-AU"/>
              </w:rPr>
              <w:t>compulsory?</w:t>
            </w:r>
          </w:p>
          <w:p w:rsidR="00D96BB9" w:rsidRDefault="00D96BB9" w:rsidP="008357D7">
            <w:pPr>
              <w:spacing w:before="40" w:after="40"/>
              <w:rPr>
                <w:rFonts w:cs="Arial"/>
                <w:color w:val="000000"/>
                <w:sz w:val="20"/>
                <w:szCs w:val="20"/>
                <w:lang w:eastAsia="en-AU"/>
              </w:rPr>
            </w:pPr>
          </w:p>
          <w:p w:rsidR="00D96BB9" w:rsidRDefault="00D96BB9" w:rsidP="008357D7">
            <w:pPr>
              <w:spacing w:before="40" w:after="40"/>
              <w:rPr>
                <w:rFonts w:cs="Arial"/>
                <w:color w:val="000000"/>
                <w:sz w:val="20"/>
                <w:szCs w:val="20"/>
                <w:lang w:eastAsia="en-AU"/>
              </w:rPr>
            </w:pPr>
            <w:r>
              <w:rPr>
                <w:rFonts w:cs="Arial"/>
                <w:color w:val="000000"/>
                <w:sz w:val="20"/>
                <w:szCs w:val="20"/>
                <w:lang w:eastAsia="en-AU"/>
              </w:rPr>
              <w:t>Compounding parenteral medicines should be to the same standard whether expiry is 24 hours or extended.</w:t>
            </w:r>
          </w:p>
          <w:p w:rsidR="00D96BB9" w:rsidRDefault="00D96BB9" w:rsidP="008357D7">
            <w:pPr>
              <w:spacing w:before="40" w:after="40"/>
              <w:rPr>
                <w:rFonts w:cs="Arial"/>
                <w:color w:val="000000"/>
                <w:sz w:val="20"/>
                <w:szCs w:val="20"/>
                <w:lang w:eastAsia="en-AU"/>
              </w:rPr>
            </w:pPr>
          </w:p>
          <w:p w:rsidR="008357D7" w:rsidRDefault="00D96BB9" w:rsidP="008357D7">
            <w:pPr>
              <w:spacing w:before="40" w:after="40"/>
              <w:rPr>
                <w:rFonts w:cs="Arial"/>
                <w:color w:val="000000"/>
                <w:sz w:val="20"/>
                <w:szCs w:val="20"/>
                <w:lang w:eastAsia="en-AU"/>
              </w:rPr>
            </w:pPr>
            <w:r>
              <w:rPr>
                <w:rFonts w:cs="Arial"/>
                <w:color w:val="000000"/>
                <w:sz w:val="20"/>
                <w:szCs w:val="20"/>
                <w:lang w:eastAsia="en-AU"/>
              </w:rPr>
              <w:t>Problem with lack of expertise in many facilities to adequately</w:t>
            </w:r>
            <w:r w:rsidR="00936AA5">
              <w:rPr>
                <w:rFonts w:cs="Arial"/>
                <w:color w:val="000000"/>
                <w:sz w:val="20"/>
                <w:szCs w:val="20"/>
                <w:lang w:eastAsia="en-AU"/>
              </w:rPr>
              <w:t xml:space="preserve"> audit adherence</w:t>
            </w:r>
            <w:r>
              <w:rPr>
                <w:rFonts w:cs="Arial"/>
                <w:color w:val="000000"/>
                <w:sz w:val="20"/>
                <w:szCs w:val="20"/>
                <w:lang w:eastAsia="en-AU"/>
              </w:rPr>
              <w:t xml:space="preserve"> to enable extended expiries (except in TGA licensed facilities)</w:t>
            </w:r>
          </w:p>
          <w:p w:rsidR="008357D7" w:rsidRDefault="008357D7" w:rsidP="008357D7">
            <w:pPr>
              <w:spacing w:before="40" w:after="40"/>
              <w:rPr>
                <w:rFonts w:cs="Arial"/>
                <w:color w:val="000000"/>
                <w:sz w:val="20"/>
                <w:szCs w:val="20"/>
                <w:lang w:eastAsia="en-AU"/>
              </w:rPr>
            </w:pPr>
          </w:p>
          <w:p w:rsidR="008357D7" w:rsidRDefault="008357D7" w:rsidP="008357D7">
            <w:pPr>
              <w:spacing w:before="40" w:after="40"/>
              <w:rPr>
                <w:rFonts w:cs="Arial"/>
                <w:color w:val="000000"/>
                <w:sz w:val="20"/>
                <w:szCs w:val="20"/>
                <w:lang w:eastAsia="en-AU"/>
              </w:rPr>
            </w:pPr>
          </w:p>
          <w:p w:rsidR="008357D7" w:rsidRPr="00285E0D" w:rsidRDefault="008357D7" w:rsidP="008357D7">
            <w:pPr>
              <w:spacing w:before="40" w:after="40"/>
              <w:rPr>
                <w:rFonts w:cs="Arial"/>
                <w:color w:val="000000"/>
                <w:sz w:val="20"/>
                <w:szCs w:val="20"/>
                <w:lang w:eastAsia="en-AU"/>
              </w:rPr>
            </w:pPr>
          </w:p>
        </w:tc>
      </w:tr>
      <w:tr w:rsidR="00AD18D4" w:rsidRPr="00285E0D" w:rsidTr="008635AB">
        <w:tc>
          <w:tcPr>
            <w:tcW w:w="2912" w:type="dxa"/>
          </w:tcPr>
          <w:p w:rsidR="00AD18D4" w:rsidRDefault="00AD18D4" w:rsidP="00285E0D">
            <w:pPr>
              <w:spacing w:before="120" w:after="120"/>
              <w:rPr>
                <w:b/>
                <w:sz w:val="20"/>
                <w:szCs w:val="20"/>
              </w:rPr>
            </w:pPr>
            <w:r w:rsidRPr="00AD18D4">
              <w:rPr>
                <w:b/>
                <w:sz w:val="20"/>
                <w:szCs w:val="20"/>
              </w:rPr>
              <w:lastRenderedPageBreak/>
              <w:t>2.</w:t>
            </w:r>
            <w:r w:rsidRPr="00AD18D4">
              <w:rPr>
                <w:b/>
                <w:sz w:val="20"/>
                <w:szCs w:val="20"/>
              </w:rPr>
              <w:tab/>
              <w:t>Does the revised guidance adequately address the concerns raised by stakeholders, that the published (postponed) guidance would inhibit or impact patient access to compounded parenteral medicines?</w:t>
            </w:r>
          </w:p>
        </w:tc>
        <w:tc>
          <w:tcPr>
            <w:tcW w:w="6808" w:type="dxa"/>
            <w:gridSpan w:val="2"/>
          </w:tcPr>
          <w:p w:rsidR="000D7170" w:rsidRDefault="000D7170" w:rsidP="008357D7">
            <w:pPr>
              <w:spacing w:before="40" w:after="40"/>
              <w:rPr>
                <w:rFonts w:cs="Arial"/>
                <w:color w:val="000000"/>
                <w:sz w:val="20"/>
                <w:szCs w:val="20"/>
                <w:lang w:eastAsia="en-AU"/>
              </w:rPr>
            </w:pPr>
            <w:r>
              <w:rPr>
                <w:rFonts w:cs="Arial"/>
                <w:color w:val="000000"/>
                <w:sz w:val="20"/>
                <w:szCs w:val="20"/>
                <w:lang w:eastAsia="en-AU"/>
              </w:rPr>
              <w:t xml:space="preserve">The revised document has tried to address the concerns of stakeholders who want to be able to extend expiry dates for the purposes of supply to rural and remote communities, overcome the need to compound daily (e.g. when there is no weekend service in a hospital) or wish to save money by compounding in-house. </w:t>
            </w:r>
          </w:p>
          <w:p w:rsidR="000D7170" w:rsidRDefault="000D7170" w:rsidP="008357D7">
            <w:pPr>
              <w:spacing w:before="40" w:after="40"/>
              <w:rPr>
                <w:rFonts w:cs="Arial"/>
                <w:color w:val="000000"/>
                <w:sz w:val="20"/>
                <w:szCs w:val="20"/>
                <w:lang w:eastAsia="en-AU"/>
              </w:rPr>
            </w:pPr>
          </w:p>
          <w:p w:rsidR="000D7170" w:rsidRDefault="000D7170" w:rsidP="008357D7">
            <w:pPr>
              <w:spacing w:before="40" w:after="40"/>
              <w:rPr>
                <w:rFonts w:cs="Arial"/>
                <w:color w:val="000000"/>
                <w:sz w:val="20"/>
                <w:szCs w:val="20"/>
                <w:lang w:eastAsia="en-AU"/>
              </w:rPr>
            </w:pPr>
            <w:r>
              <w:rPr>
                <w:rFonts w:cs="Arial"/>
                <w:color w:val="000000"/>
                <w:sz w:val="20"/>
                <w:szCs w:val="20"/>
                <w:lang w:eastAsia="en-AU"/>
              </w:rPr>
              <w:t>However, as outlined above, requiring self audited compliance by a hospital/facility to USP 797 in order to be able to extend expiry dates infer</w:t>
            </w:r>
            <w:r w:rsidR="00CE3E5D">
              <w:rPr>
                <w:rFonts w:cs="Arial"/>
                <w:color w:val="000000"/>
                <w:sz w:val="20"/>
                <w:szCs w:val="20"/>
                <w:lang w:eastAsia="en-AU"/>
              </w:rPr>
              <w:t>s</w:t>
            </w:r>
            <w:r>
              <w:rPr>
                <w:rFonts w:cs="Arial"/>
                <w:color w:val="000000"/>
                <w:sz w:val="20"/>
                <w:szCs w:val="20"/>
                <w:lang w:eastAsia="en-AU"/>
              </w:rPr>
              <w:t xml:space="preserve"> that facilities compounding parenteral products with 24 h</w:t>
            </w:r>
            <w:r w:rsidR="00CE3E5D">
              <w:rPr>
                <w:rFonts w:cs="Arial"/>
                <w:color w:val="000000"/>
                <w:sz w:val="20"/>
                <w:szCs w:val="20"/>
                <w:lang w:eastAsia="en-AU"/>
              </w:rPr>
              <w:t>our expiry can comply at a lower standard</w:t>
            </w:r>
            <w:r>
              <w:rPr>
                <w:rFonts w:cs="Arial"/>
                <w:color w:val="000000"/>
                <w:sz w:val="20"/>
                <w:szCs w:val="20"/>
                <w:lang w:eastAsia="en-AU"/>
              </w:rPr>
              <w:t>. Hospitals and facilities not TGA licensed should be complying anyway.</w:t>
            </w:r>
            <w:r w:rsidR="00CE3E5D">
              <w:rPr>
                <w:rFonts w:cs="Arial"/>
                <w:color w:val="000000"/>
                <w:sz w:val="20"/>
                <w:szCs w:val="20"/>
                <w:lang w:eastAsia="en-AU"/>
              </w:rPr>
              <w:t xml:space="preserve"> The standard of compounding to ensure sterility should be the same whether the expiry is 24 hours of greater.</w:t>
            </w:r>
          </w:p>
          <w:p w:rsidR="000D7170" w:rsidRDefault="000D7170" w:rsidP="008357D7">
            <w:pPr>
              <w:spacing w:before="40" w:after="40"/>
              <w:rPr>
                <w:rFonts w:cs="Arial"/>
                <w:color w:val="000000"/>
                <w:sz w:val="20"/>
                <w:szCs w:val="20"/>
                <w:lang w:eastAsia="en-AU"/>
              </w:rPr>
            </w:pPr>
          </w:p>
          <w:p w:rsidR="000D7170" w:rsidRDefault="000D7170" w:rsidP="008357D7">
            <w:pPr>
              <w:spacing w:before="40" w:after="40"/>
              <w:rPr>
                <w:rFonts w:cs="Arial"/>
                <w:color w:val="000000"/>
                <w:sz w:val="20"/>
                <w:szCs w:val="20"/>
                <w:lang w:eastAsia="en-AU"/>
              </w:rPr>
            </w:pPr>
            <w:r>
              <w:rPr>
                <w:rFonts w:cs="Arial"/>
                <w:color w:val="000000"/>
                <w:sz w:val="20"/>
                <w:szCs w:val="20"/>
                <w:lang w:eastAsia="en-AU"/>
              </w:rPr>
              <w:t>Suggest if the hospital or facility has a quality assurance program consistent with USP 797 then expiry dates may be extended to up to one week if the product is stable. Extending beyond one week should require a TGA licence.</w:t>
            </w:r>
            <w:r w:rsidR="002D71AE">
              <w:rPr>
                <w:rFonts w:cs="Arial"/>
                <w:color w:val="000000"/>
                <w:sz w:val="20"/>
                <w:szCs w:val="20"/>
                <w:lang w:eastAsia="en-AU"/>
              </w:rPr>
              <w:t xml:space="preserve"> </w:t>
            </w:r>
            <w:r w:rsidR="009C5814">
              <w:rPr>
                <w:rFonts w:cs="Arial"/>
                <w:color w:val="000000"/>
                <w:sz w:val="20"/>
                <w:szCs w:val="20"/>
                <w:lang w:eastAsia="en-AU"/>
              </w:rPr>
              <w:t>I.e</w:t>
            </w:r>
            <w:r w:rsidR="002D71AE">
              <w:rPr>
                <w:rFonts w:cs="Arial"/>
                <w:color w:val="000000"/>
                <w:sz w:val="20"/>
                <w:szCs w:val="20"/>
                <w:lang w:eastAsia="en-AU"/>
              </w:rPr>
              <w:t>. self assessment does not adequately support a longer shelf life.</w:t>
            </w:r>
          </w:p>
          <w:p w:rsidR="000D7170" w:rsidRDefault="000D7170" w:rsidP="008357D7">
            <w:pPr>
              <w:spacing w:before="40" w:after="40"/>
              <w:rPr>
                <w:rFonts w:cs="Arial"/>
                <w:color w:val="000000"/>
                <w:sz w:val="20"/>
                <w:szCs w:val="20"/>
                <w:lang w:eastAsia="en-AU"/>
              </w:rPr>
            </w:pPr>
          </w:p>
          <w:p w:rsidR="000D7170" w:rsidRDefault="000D7170" w:rsidP="008357D7">
            <w:pPr>
              <w:spacing w:before="40" w:after="40"/>
              <w:rPr>
                <w:rFonts w:cs="Arial"/>
                <w:color w:val="000000"/>
                <w:sz w:val="20"/>
                <w:szCs w:val="20"/>
                <w:lang w:eastAsia="en-AU"/>
              </w:rPr>
            </w:pPr>
            <w:r>
              <w:rPr>
                <w:rFonts w:cs="Arial"/>
                <w:color w:val="000000"/>
                <w:sz w:val="20"/>
                <w:szCs w:val="20"/>
                <w:lang w:eastAsia="en-AU"/>
              </w:rPr>
              <w:t xml:space="preserve">Costs should not be a reason to </w:t>
            </w:r>
            <w:r w:rsidR="002D71AE">
              <w:rPr>
                <w:rFonts w:cs="Arial"/>
                <w:color w:val="000000"/>
                <w:sz w:val="20"/>
                <w:szCs w:val="20"/>
                <w:lang w:eastAsia="en-AU"/>
              </w:rPr>
              <w:t>justify a lower standard of compounding.</w:t>
            </w:r>
          </w:p>
          <w:p w:rsidR="00CF44C6" w:rsidRDefault="00CF44C6" w:rsidP="008357D7">
            <w:pPr>
              <w:spacing w:before="40" w:after="40"/>
              <w:rPr>
                <w:rFonts w:cs="Arial"/>
                <w:color w:val="000000"/>
                <w:sz w:val="20"/>
                <w:szCs w:val="20"/>
                <w:lang w:eastAsia="en-AU"/>
              </w:rPr>
            </w:pPr>
          </w:p>
        </w:tc>
      </w:tr>
      <w:tr w:rsidR="00AD18D4" w:rsidRPr="00285E0D" w:rsidTr="008635AB">
        <w:tc>
          <w:tcPr>
            <w:tcW w:w="2912" w:type="dxa"/>
          </w:tcPr>
          <w:p w:rsidR="00AD18D4" w:rsidRDefault="00AD18D4" w:rsidP="00285E0D">
            <w:pPr>
              <w:spacing w:before="120" w:after="120"/>
              <w:rPr>
                <w:b/>
                <w:sz w:val="20"/>
                <w:szCs w:val="20"/>
              </w:rPr>
            </w:pPr>
            <w:r w:rsidRPr="00AD18D4">
              <w:rPr>
                <w:b/>
                <w:sz w:val="20"/>
                <w:szCs w:val="20"/>
              </w:rPr>
              <w:t>3.</w:t>
            </w:r>
            <w:r w:rsidRPr="00AD18D4">
              <w:rPr>
                <w:b/>
                <w:sz w:val="20"/>
                <w:szCs w:val="20"/>
              </w:rPr>
              <w:tab/>
              <w:t>Does the revised guidance support patient safety when supplying compounded parenteral (sterile injectable) medicines?</w:t>
            </w:r>
          </w:p>
        </w:tc>
        <w:tc>
          <w:tcPr>
            <w:tcW w:w="6808" w:type="dxa"/>
            <w:gridSpan w:val="2"/>
          </w:tcPr>
          <w:p w:rsidR="00AD18D4" w:rsidRDefault="00CF44C6" w:rsidP="008357D7">
            <w:pPr>
              <w:spacing w:before="40" w:after="40"/>
              <w:rPr>
                <w:rFonts w:cs="Arial"/>
                <w:color w:val="000000"/>
                <w:sz w:val="20"/>
                <w:szCs w:val="20"/>
                <w:lang w:eastAsia="en-AU"/>
              </w:rPr>
            </w:pPr>
            <w:r>
              <w:rPr>
                <w:rFonts w:cs="Arial"/>
                <w:color w:val="000000"/>
                <w:sz w:val="20"/>
                <w:szCs w:val="20"/>
                <w:lang w:eastAsia="en-AU"/>
              </w:rPr>
              <w:t>N</w:t>
            </w:r>
            <w:r w:rsidR="009C5814">
              <w:rPr>
                <w:rFonts w:cs="Arial"/>
                <w:color w:val="000000"/>
                <w:sz w:val="20"/>
                <w:szCs w:val="20"/>
                <w:lang w:eastAsia="en-AU"/>
              </w:rPr>
              <w:t xml:space="preserve">ot in regard to maintenance of </w:t>
            </w:r>
            <w:r>
              <w:rPr>
                <w:rFonts w:cs="Arial"/>
                <w:color w:val="000000"/>
                <w:sz w:val="20"/>
                <w:szCs w:val="20"/>
                <w:lang w:eastAsia="en-AU"/>
              </w:rPr>
              <w:t xml:space="preserve">sterility at extended expiries. </w:t>
            </w:r>
            <w:r w:rsidR="009C5814">
              <w:rPr>
                <w:rFonts w:cs="Arial"/>
                <w:color w:val="000000"/>
                <w:sz w:val="20"/>
                <w:szCs w:val="20"/>
                <w:lang w:eastAsia="en-AU"/>
              </w:rPr>
              <w:t>Expiry date shouldn’t be judged on a risk level assessment. Suggest not leaving open ended but having up to 7 days if full compliance with USP</w:t>
            </w:r>
            <w:r w:rsidR="00CE3E5D">
              <w:rPr>
                <w:rFonts w:cs="Arial"/>
                <w:color w:val="000000"/>
                <w:sz w:val="20"/>
                <w:szCs w:val="20"/>
                <w:lang w:eastAsia="en-AU"/>
              </w:rPr>
              <w:t xml:space="preserve"> </w:t>
            </w:r>
            <w:r w:rsidR="009C5814">
              <w:rPr>
                <w:rFonts w:cs="Arial"/>
                <w:color w:val="000000"/>
                <w:sz w:val="20"/>
                <w:szCs w:val="20"/>
                <w:lang w:eastAsia="en-AU"/>
              </w:rPr>
              <w:t>797</w:t>
            </w:r>
            <w:r>
              <w:rPr>
                <w:rFonts w:cs="Arial"/>
                <w:color w:val="000000"/>
                <w:sz w:val="20"/>
                <w:szCs w:val="20"/>
                <w:lang w:eastAsia="en-AU"/>
              </w:rPr>
              <w:t>. Given stakeholders concern re rural and need for patients to have a compounded injection daily, can we c</w:t>
            </w:r>
            <w:r w:rsidR="009C5814">
              <w:rPr>
                <w:rFonts w:cs="Arial"/>
                <w:color w:val="000000"/>
                <w:sz w:val="20"/>
                <w:szCs w:val="20"/>
                <w:lang w:eastAsia="en-AU"/>
              </w:rPr>
              <w:t>ap at one week (former NSW guidel</w:t>
            </w:r>
            <w:r>
              <w:rPr>
                <w:rFonts w:cs="Arial"/>
                <w:color w:val="000000"/>
                <w:sz w:val="20"/>
                <w:szCs w:val="20"/>
                <w:lang w:eastAsia="en-AU"/>
              </w:rPr>
              <w:t xml:space="preserve">ines and common </w:t>
            </w:r>
            <w:r w:rsidR="00A4018A">
              <w:rPr>
                <w:rFonts w:cs="Arial"/>
                <w:color w:val="000000"/>
                <w:sz w:val="20"/>
                <w:szCs w:val="20"/>
                <w:lang w:eastAsia="en-AU"/>
              </w:rPr>
              <w:t>hospital</w:t>
            </w:r>
            <w:r>
              <w:rPr>
                <w:rFonts w:cs="Arial"/>
                <w:color w:val="000000"/>
                <w:sz w:val="20"/>
                <w:szCs w:val="20"/>
                <w:lang w:eastAsia="en-AU"/>
              </w:rPr>
              <w:t xml:space="preserve"> practice if extended expiry required)</w:t>
            </w:r>
          </w:p>
        </w:tc>
      </w:tr>
      <w:tr w:rsidR="00AD18D4" w:rsidRPr="00285E0D" w:rsidTr="008635AB">
        <w:tc>
          <w:tcPr>
            <w:tcW w:w="2912" w:type="dxa"/>
          </w:tcPr>
          <w:p w:rsidR="00AD18D4" w:rsidRPr="00F93F8C" w:rsidRDefault="00AD18D4" w:rsidP="00AD18D4">
            <w:pPr>
              <w:pStyle w:val="AHPRASubhead"/>
              <w:spacing w:before="120" w:after="120"/>
              <w:rPr>
                <w:rFonts w:cs="Arial"/>
                <w:color w:val="000000" w:themeColor="text1"/>
                <w:szCs w:val="20"/>
              </w:rPr>
            </w:pPr>
            <w:r>
              <w:rPr>
                <w:rFonts w:cs="Arial"/>
                <w:color w:val="000000" w:themeColor="text1"/>
                <w:szCs w:val="20"/>
              </w:rPr>
              <w:t xml:space="preserve">4. </w:t>
            </w:r>
            <w:r w:rsidRPr="00F93F8C">
              <w:rPr>
                <w:rFonts w:cs="Arial"/>
                <w:color w:val="000000" w:themeColor="text1"/>
                <w:szCs w:val="20"/>
              </w:rPr>
              <w:t>Do you have any suggestions for questions to be included in the Board’s FAQ for pharmacists on the compounding of medicines, to support pharmacists in their understanding and application of this guidance?</w:t>
            </w:r>
          </w:p>
          <w:p w:rsidR="00AD18D4" w:rsidRDefault="00AD18D4" w:rsidP="00AD18D4">
            <w:pPr>
              <w:pStyle w:val="AHPRASubhead"/>
              <w:spacing w:before="120" w:after="120"/>
              <w:rPr>
                <w:b w:val="0"/>
                <w:szCs w:val="20"/>
              </w:rPr>
            </w:pPr>
          </w:p>
        </w:tc>
        <w:tc>
          <w:tcPr>
            <w:tcW w:w="6808" w:type="dxa"/>
            <w:gridSpan w:val="2"/>
          </w:tcPr>
          <w:p w:rsidR="00AD18D4" w:rsidRDefault="00CF44C6" w:rsidP="008357D7">
            <w:pPr>
              <w:spacing w:before="40" w:after="40"/>
              <w:rPr>
                <w:rFonts w:cs="Arial"/>
                <w:color w:val="000000"/>
                <w:sz w:val="20"/>
                <w:szCs w:val="20"/>
                <w:lang w:eastAsia="en-AU"/>
              </w:rPr>
            </w:pPr>
            <w:r>
              <w:rPr>
                <w:rFonts w:cs="Arial"/>
                <w:color w:val="000000"/>
                <w:sz w:val="20"/>
                <w:szCs w:val="20"/>
                <w:lang w:eastAsia="en-AU"/>
              </w:rPr>
              <w:t xml:space="preserve">If I am a community pharmacy </w:t>
            </w:r>
            <w:r w:rsidR="009C5814">
              <w:rPr>
                <w:rFonts w:cs="Arial"/>
                <w:color w:val="000000"/>
                <w:sz w:val="20"/>
                <w:szCs w:val="20"/>
                <w:lang w:eastAsia="en-AU"/>
              </w:rPr>
              <w:t xml:space="preserve">compounding injectable products for sale </w:t>
            </w:r>
            <w:r>
              <w:rPr>
                <w:rFonts w:cs="Arial"/>
                <w:color w:val="000000"/>
                <w:sz w:val="20"/>
                <w:szCs w:val="20"/>
                <w:lang w:eastAsia="en-AU"/>
              </w:rPr>
              <w:t>do I need to be licensed by TGA...</w:t>
            </w:r>
          </w:p>
          <w:p w:rsidR="00CF44C6" w:rsidRDefault="00CF44C6" w:rsidP="008357D7">
            <w:pPr>
              <w:spacing w:before="40" w:after="40"/>
              <w:rPr>
                <w:rFonts w:cs="Arial"/>
                <w:color w:val="000000"/>
                <w:sz w:val="20"/>
                <w:szCs w:val="20"/>
                <w:lang w:eastAsia="en-AU"/>
              </w:rPr>
            </w:pPr>
            <w:r>
              <w:rPr>
                <w:rFonts w:cs="Arial"/>
                <w:color w:val="000000"/>
                <w:sz w:val="20"/>
                <w:szCs w:val="20"/>
                <w:lang w:eastAsia="en-AU"/>
              </w:rPr>
              <w:t>If I am a hospital phramcist compounding inf</w:t>
            </w:r>
            <w:r w:rsidR="009C5814">
              <w:rPr>
                <w:rFonts w:cs="Arial"/>
                <w:color w:val="000000"/>
                <w:sz w:val="20"/>
                <w:szCs w:val="20"/>
                <w:lang w:eastAsia="en-AU"/>
              </w:rPr>
              <w:t>usions a</w:t>
            </w:r>
            <w:r>
              <w:rPr>
                <w:rFonts w:cs="Arial"/>
                <w:color w:val="000000"/>
                <w:sz w:val="20"/>
                <w:szCs w:val="20"/>
                <w:lang w:eastAsia="en-AU"/>
              </w:rPr>
              <w:t>nd inject</w:t>
            </w:r>
            <w:r w:rsidR="009C5814">
              <w:rPr>
                <w:rFonts w:cs="Arial"/>
                <w:color w:val="000000"/>
                <w:sz w:val="20"/>
                <w:szCs w:val="20"/>
                <w:lang w:eastAsia="en-AU"/>
              </w:rPr>
              <w:t>ions for immediate (within 24 hou</w:t>
            </w:r>
            <w:r>
              <w:rPr>
                <w:rFonts w:cs="Arial"/>
                <w:color w:val="000000"/>
                <w:sz w:val="20"/>
                <w:szCs w:val="20"/>
                <w:lang w:eastAsia="en-AU"/>
              </w:rPr>
              <w:t>r) use</w:t>
            </w:r>
            <w:r w:rsidR="009C5814">
              <w:rPr>
                <w:rFonts w:cs="Arial"/>
                <w:color w:val="000000"/>
                <w:sz w:val="20"/>
                <w:szCs w:val="20"/>
                <w:lang w:eastAsia="en-AU"/>
              </w:rPr>
              <w:t>,</w:t>
            </w:r>
            <w:r>
              <w:rPr>
                <w:rFonts w:cs="Arial"/>
                <w:color w:val="000000"/>
                <w:sz w:val="20"/>
                <w:szCs w:val="20"/>
                <w:lang w:eastAsia="en-AU"/>
              </w:rPr>
              <w:t xml:space="preserve"> which standards</w:t>
            </w:r>
            <w:r w:rsidR="009C5814">
              <w:rPr>
                <w:rFonts w:cs="Arial"/>
                <w:color w:val="000000"/>
                <w:sz w:val="20"/>
                <w:szCs w:val="20"/>
                <w:lang w:eastAsia="en-AU"/>
              </w:rPr>
              <w:t xml:space="preserve"> should I comply with...</w:t>
            </w:r>
          </w:p>
          <w:p w:rsidR="00CF44C6" w:rsidRDefault="00CF44C6" w:rsidP="008357D7">
            <w:pPr>
              <w:spacing w:before="40" w:after="40"/>
              <w:rPr>
                <w:rFonts w:cs="Arial"/>
                <w:color w:val="000000"/>
                <w:sz w:val="20"/>
                <w:szCs w:val="20"/>
                <w:lang w:eastAsia="en-AU"/>
              </w:rPr>
            </w:pPr>
            <w:r>
              <w:rPr>
                <w:rFonts w:cs="Arial"/>
                <w:color w:val="000000"/>
                <w:sz w:val="20"/>
                <w:szCs w:val="20"/>
                <w:lang w:eastAsia="en-AU"/>
              </w:rPr>
              <w:t>If I am compounding paren</w:t>
            </w:r>
            <w:r w:rsidR="009C5814">
              <w:rPr>
                <w:rFonts w:cs="Arial"/>
                <w:color w:val="000000"/>
                <w:sz w:val="20"/>
                <w:szCs w:val="20"/>
                <w:lang w:eastAsia="en-AU"/>
              </w:rPr>
              <w:t>teral medicines in a hospital p</w:t>
            </w:r>
            <w:r>
              <w:rPr>
                <w:rFonts w:cs="Arial"/>
                <w:color w:val="000000"/>
                <w:sz w:val="20"/>
                <w:szCs w:val="20"/>
                <w:lang w:eastAsia="en-AU"/>
              </w:rPr>
              <w:t>harmacy under the governance and policies of the Pharmacy Dept, hospital and State Health Dept, do I need individual additional Pii cover</w:t>
            </w:r>
            <w:r w:rsidR="009C5814">
              <w:rPr>
                <w:rFonts w:cs="Arial"/>
                <w:color w:val="000000"/>
                <w:sz w:val="20"/>
                <w:szCs w:val="20"/>
                <w:lang w:eastAsia="en-AU"/>
              </w:rPr>
              <w:t>....</w:t>
            </w:r>
          </w:p>
          <w:p w:rsidR="00CF44C6" w:rsidRDefault="00CF44C6" w:rsidP="008357D7">
            <w:pPr>
              <w:spacing w:before="40" w:after="40"/>
              <w:rPr>
                <w:rFonts w:cs="Arial"/>
                <w:color w:val="000000"/>
                <w:sz w:val="20"/>
                <w:szCs w:val="20"/>
                <w:lang w:eastAsia="en-AU"/>
              </w:rPr>
            </w:pPr>
            <w:r>
              <w:rPr>
                <w:rFonts w:cs="Arial"/>
                <w:color w:val="000000"/>
                <w:sz w:val="20"/>
                <w:szCs w:val="20"/>
                <w:lang w:eastAsia="en-AU"/>
              </w:rPr>
              <w:t>How can I find a third party assessor</w:t>
            </w:r>
            <w:r w:rsidR="009C5814">
              <w:rPr>
                <w:rFonts w:cs="Arial"/>
                <w:color w:val="000000"/>
                <w:sz w:val="20"/>
                <w:szCs w:val="20"/>
                <w:lang w:eastAsia="en-AU"/>
              </w:rPr>
              <w:t>....</w:t>
            </w:r>
          </w:p>
          <w:p w:rsidR="00CF44C6" w:rsidRDefault="00CF44C6" w:rsidP="008357D7">
            <w:pPr>
              <w:spacing w:before="40" w:after="40"/>
              <w:rPr>
                <w:rFonts w:cs="Arial"/>
                <w:color w:val="000000"/>
                <w:sz w:val="20"/>
                <w:szCs w:val="20"/>
                <w:lang w:eastAsia="en-AU"/>
              </w:rPr>
            </w:pPr>
            <w:r>
              <w:rPr>
                <w:rFonts w:cs="Arial"/>
                <w:color w:val="000000"/>
                <w:sz w:val="20"/>
                <w:szCs w:val="20"/>
                <w:lang w:eastAsia="en-AU"/>
              </w:rPr>
              <w:t>Whay qu</w:t>
            </w:r>
            <w:r w:rsidR="009C5814">
              <w:rPr>
                <w:rFonts w:cs="Arial"/>
                <w:color w:val="000000"/>
                <w:sz w:val="20"/>
                <w:szCs w:val="20"/>
                <w:lang w:eastAsia="en-AU"/>
              </w:rPr>
              <w:t>alifications does a third party assessor requ</w:t>
            </w:r>
            <w:r>
              <w:rPr>
                <w:rFonts w:cs="Arial"/>
                <w:color w:val="000000"/>
                <w:sz w:val="20"/>
                <w:szCs w:val="20"/>
                <w:lang w:eastAsia="en-AU"/>
              </w:rPr>
              <w:t>ire</w:t>
            </w:r>
            <w:r w:rsidR="009C5814">
              <w:rPr>
                <w:rFonts w:cs="Arial"/>
                <w:color w:val="000000"/>
                <w:sz w:val="20"/>
                <w:szCs w:val="20"/>
                <w:lang w:eastAsia="en-AU"/>
              </w:rPr>
              <w:t xml:space="preserve">.....    </w:t>
            </w:r>
          </w:p>
        </w:tc>
      </w:tr>
      <w:tr w:rsidR="00AD18D4" w:rsidRPr="00285E0D" w:rsidTr="008635AB">
        <w:tc>
          <w:tcPr>
            <w:tcW w:w="2912" w:type="dxa"/>
          </w:tcPr>
          <w:p w:rsidR="00AD18D4" w:rsidRDefault="00AD18D4" w:rsidP="00285E0D">
            <w:pPr>
              <w:spacing w:before="120" w:after="120"/>
              <w:rPr>
                <w:b/>
                <w:sz w:val="20"/>
                <w:szCs w:val="20"/>
              </w:rPr>
            </w:pPr>
          </w:p>
          <w:p w:rsidR="00AD18D4" w:rsidRDefault="00AD18D4" w:rsidP="00285E0D">
            <w:pPr>
              <w:spacing w:before="120" w:after="120"/>
              <w:rPr>
                <w:b/>
                <w:sz w:val="20"/>
                <w:szCs w:val="20"/>
              </w:rPr>
            </w:pPr>
            <w:r w:rsidRPr="00AD18D4">
              <w:rPr>
                <w:b/>
                <w:sz w:val="20"/>
                <w:szCs w:val="20"/>
              </w:rPr>
              <w:t>5.</w:t>
            </w:r>
            <w:r w:rsidRPr="00AD18D4">
              <w:rPr>
                <w:b/>
                <w:sz w:val="20"/>
                <w:szCs w:val="20"/>
              </w:rPr>
              <w:tab/>
              <w:t>Do you have any suggestions on how the proposed guidance could be improved (e.g. any content that should be changed, added or deleted), while still being in accordance with the public interest?</w:t>
            </w:r>
          </w:p>
        </w:tc>
        <w:tc>
          <w:tcPr>
            <w:tcW w:w="6808" w:type="dxa"/>
            <w:gridSpan w:val="2"/>
          </w:tcPr>
          <w:p w:rsidR="00AD18D4" w:rsidRDefault="00AA51A4" w:rsidP="008357D7">
            <w:pPr>
              <w:spacing w:before="40" w:after="40"/>
              <w:rPr>
                <w:rFonts w:cs="Arial"/>
                <w:color w:val="000000"/>
                <w:sz w:val="20"/>
                <w:szCs w:val="20"/>
                <w:lang w:eastAsia="en-AU"/>
              </w:rPr>
            </w:pPr>
            <w:r>
              <w:rPr>
                <w:rFonts w:cs="Arial"/>
                <w:color w:val="000000"/>
                <w:sz w:val="20"/>
                <w:szCs w:val="20"/>
                <w:lang w:eastAsia="en-AU"/>
              </w:rPr>
              <w:t>See</w:t>
            </w:r>
            <w:r w:rsidR="009C5814">
              <w:rPr>
                <w:rFonts w:cs="Arial"/>
                <w:color w:val="000000"/>
                <w:sz w:val="20"/>
                <w:szCs w:val="20"/>
                <w:lang w:eastAsia="en-AU"/>
              </w:rPr>
              <w:t xml:space="preserve"> comments in section </w:t>
            </w:r>
            <w:r>
              <w:rPr>
                <w:rFonts w:cs="Arial"/>
                <w:color w:val="000000"/>
                <w:sz w:val="20"/>
                <w:szCs w:val="20"/>
                <w:lang w:eastAsia="en-AU"/>
              </w:rPr>
              <w:t xml:space="preserve"> 1</w:t>
            </w:r>
          </w:p>
          <w:p w:rsidR="009C5814" w:rsidRDefault="009C5814" w:rsidP="008357D7">
            <w:pPr>
              <w:spacing w:before="40" w:after="40"/>
              <w:rPr>
                <w:rFonts w:cs="Arial"/>
                <w:color w:val="000000"/>
                <w:sz w:val="20"/>
                <w:szCs w:val="20"/>
                <w:lang w:eastAsia="en-AU"/>
              </w:rPr>
            </w:pPr>
          </w:p>
          <w:p w:rsidR="00ED1248" w:rsidRDefault="009C5814" w:rsidP="004327B1">
            <w:pPr>
              <w:spacing w:before="40" w:after="40"/>
              <w:rPr>
                <w:rFonts w:cs="Arial"/>
                <w:color w:val="000000"/>
                <w:sz w:val="20"/>
                <w:szCs w:val="20"/>
                <w:lang w:eastAsia="en-AU"/>
              </w:rPr>
            </w:pPr>
            <w:r>
              <w:rPr>
                <w:rFonts w:cs="Arial"/>
                <w:color w:val="000000"/>
                <w:sz w:val="20"/>
                <w:szCs w:val="20"/>
                <w:lang w:eastAsia="en-AU"/>
              </w:rPr>
              <w:t>In the section on ‘Assigning expiry dates to compounded parenteral medicines”, the third dot point states that there is documented evidence that the product ‘maintains sterility’ This statement needs reviewing as a pharmacist cannot</w:t>
            </w:r>
            <w:r w:rsidR="00ED1248">
              <w:rPr>
                <w:rFonts w:cs="Arial"/>
                <w:color w:val="000000"/>
                <w:sz w:val="20"/>
                <w:szCs w:val="20"/>
                <w:lang w:eastAsia="en-AU"/>
              </w:rPr>
              <w:t xml:space="preserve"> provide evidence of steril</w:t>
            </w:r>
            <w:r>
              <w:rPr>
                <w:rFonts w:cs="Arial"/>
                <w:color w:val="000000"/>
                <w:sz w:val="20"/>
                <w:szCs w:val="20"/>
                <w:lang w:eastAsia="en-AU"/>
              </w:rPr>
              <w:t>ity</w:t>
            </w:r>
            <w:r w:rsidR="004327B1">
              <w:rPr>
                <w:rFonts w:cs="Arial"/>
                <w:color w:val="000000"/>
                <w:sz w:val="20"/>
                <w:szCs w:val="20"/>
                <w:lang w:eastAsia="en-AU"/>
              </w:rPr>
              <w:t>. E</w:t>
            </w:r>
            <w:r>
              <w:rPr>
                <w:rFonts w:cs="Arial"/>
                <w:color w:val="000000"/>
                <w:sz w:val="20"/>
                <w:szCs w:val="20"/>
                <w:lang w:eastAsia="en-AU"/>
              </w:rPr>
              <w:t xml:space="preserve">vidence of sterility can only occur with sterility (QC) testing of a batch of manufactured product. In a compounding situation where the </w:t>
            </w:r>
            <w:r w:rsidR="004327B1">
              <w:rPr>
                <w:rFonts w:cs="Arial"/>
                <w:color w:val="000000"/>
                <w:sz w:val="20"/>
                <w:szCs w:val="20"/>
                <w:lang w:eastAsia="en-AU"/>
              </w:rPr>
              <w:t>facility is complying with standards to the best of their ability and has</w:t>
            </w:r>
            <w:r>
              <w:rPr>
                <w:rFonts w:cs="Arial"/>
                <w:color w:val="000000"/>
                <w:sz w:val="20"/>
                <w:szCs w:val="20"/>
                <w:lang w:eastAsia="en-AU"/>
              </w:rPr>
              <w:t xml:space="preserve"> a comprehensive QA program,</w:t>
            </w:r>
            <w:r w:rsidR="004327B1">
              <w:rPr>
                <w:rFonts w:cs="Arial"/>
                <w:color w:val="000000"/>
                <w:sz w:val="20"/>
                <w:szCs w:val="20"/>
                <w:lang w:eastAsia="en-AU"/>
              </w:rPr>
              <w:t xml:space="preserve"> the pharmacist can only ensure control measures are in place to prevent contamination during compounding, but the individual product cannot be tested for sterility.</w:t>
            </w:r>
            <w:r>
              <w:rPr>
                <w:rFonts w:cs="Arial"/>
                <w:color w:val="000000"/>
                <w:sz w:val="20"/>
                <w:szCs w:val="20"/>
                <w:lang w:eastAsia="en-AU"/>
              </w:rPr>
              <w:t xml:space="preserve"> </w:t>
            </w:r>
            <w:r w:rsidR="004327B1">
              <w:rPr>
                <w:rFonts w:cs="Arial"/>
                <w:color w:val="000000"/>
                <w:sz w:val="20"/>
                <w:szCs w:val="20"/>
                <w:lang w:eastAsia="en-AU"/>
              </w:rPr>
              <w:t xml:space="preserve"> </w:t>
            </w:r>
          </w:p>
        </w:tc>
      </w:tr>
      <w:tr w:rsidR="00AD18D4" w:rsidRPr="00285E0D" w:rsidTr="008635AB">
        <w:tc>
          <w:tcPr>
            <w:tcW w:w="2912" w:type="dxa"/>
          </w:tcPr>
          <w:p w:rsidR="00AD18D4" w:rsidRDefault="00AD18D4" w:rsidP="00285E0D">
            <w:pPr>
              <w:spacing w:before="120" w:after="120"/>
              <w:rPr>
                <w:b/>
                <w:sz w:val="20"/>
                <w:szCs w:val="20"/>
              </w:rPr>
            </w:pPr>
            <w:r w:rsidRPr="00AD18D4">
              <w:rPr>
                <w:b/>
                <w:sz w:val="20"/>
                <w:szCs w:val="20"/>
              </w:rPr>
              <w:t>6.</w:t>
            </w:r>
            <w:r w:rsidRPr="00AD18D4">
              <w:rPr>
                <w:b/>
                <w:sz w:val="20"/>
                <w:szCs w:val="20"/>
              </w:rPr>
              <w:tab/>
              <w:t>Do you have any other comments on the proposed guidance?</w:t>
            </w:r>
          </w:p>
        </w:tc>
        <w:tc>
          <w:tcPr>
            <w:tcW w:w="6808" w:type="dxa"/>
            <w:gridSpan w:val="2"/>
          </w:tcPr>
          <w:p w:rsidR="00AD18D4" w:rsidRDefault="00A4018A" w:rsidP="008357D7">
            <w:pPr>
              <w:spacing w:before="40" w:after="40"/>
              <w:rPr>
                <w:rFonts w:cs="Arial"/>
                <w:color w:val="000000"/>
                <w:sz w:val="20"/>
                <w:szCs w:val="20"/>
                <w:lang w:eastAsia="en-AU"/>
              </w:rPr>
            </w:pPr>
            <w:r>
              <w:rPr>
                <w:rFonts w:cs="Arial"/>
                <w:color w:val="000000"/>
                <w:sz w:val="20"/>
                <w:szCs w:val="20"/>
                <w:lang w:eastAsia="en-AU"/>
              </w:rPr>
              <w:t>Problem of lack of expertise and resources in the area of sterile compounding to ensure full compliance against the standards such as USP 797. Support original Board statement on 24 hour expiry but s</w:t>
            </w:r>
            <w:r w:rsidR="00CF44C6">
              <w:rPr>
                <w:rFonts w:cs="Arial"/>
                <w:color w:val="000000"/>
                <w:sz w:val="20"/>
                <w:szCs w:val="20"/>
                <w:lang w:eastAsia="en-AU"/>
              </w:rPr>
              <w:t>elf assessment</w:t>
            </w:r>
            <w:r>
              <w:rPr>
                <w:rFonts w:cs="Arial"/>
                <w:color w:val="000000"/>
                <w:sz w:val="20"/>
                <w:szCs w:val="20"/>
                <w:lang w:eastAsia="en-AU"/>
              </w:rPr>
              <w:t xml:space="preserve"> to give open ended extended expiry</w:t>
            </w:r>
            <w:r w:rsidR="00AA51A4">
              <w:rPr>
                <w:rFonts w:cs="Arial"/>
                <w:color w:val="000000"/>
                <w:sz w:val="20"/>
                <w:szCs w:val="20"/>
                <w:lang w:eastAsia="en-AU"/>
              </w:rPr>
              <w:t xml:space="preserve"> may not protect the public sufficiently</w:t>
            </w:r>
            <w:r>
              <w:rPr>
                <w:rFonts w:cs="Arial"/>
                <w:color w:val="000000"/>
                <w:sz w:val="20"/>
                <w:szCs w:val="20"/>
                <w:lang w:eastAsia="en-AU"/>
              </w:rPr>
              <w:t>.</w:t>
            </w:r>
            <w:r w:rsidR="00CF44C6">
              <w:rPr>
                <w:rFonts w:cs="Arial"/>
                <w:color w:val="000000"/>
                <w:sz w:val="20"/>
                <w:szCs w:val="20"/>
                <w:lang w:eastAsia="en-AU"/>
              </w:rPr>
              <w:t xml:space="preserve"> </w:t>
            </w:r>
          </w:p>
        </w:tc>
      </w:tr>
      <w:tr w:rsidR="008F4639" w:rsidRPr="00285E0D" w:rsidTr="00B32987">
        <w:trPr>
          <w:trHeight w:val="233"/>
        </w:trPr>
        <w:tc>
          <w:tcPr>
            <w:tcW w:w="2912" w:type="dxa"/>
            <w:shd w:val="clear" w:color="auto" w:fill="95B3D7" w:themeFill="accent1" w:themeFillTint="99"/>
          </w:tcPr>
          <w:p w:rsidR="008F4639" w:rsidRPr="00285E0D" w:rsidRDefault="008F4639" w:rsidP="00285E0D">
            <w:pPr>
              <w:spacing w:before="120" w:after="60"/>
              <w:rPr>
                <w:b/>
                <w:sz w:val="22"/>
                <w:szCs w:val="22"/>
              </w:rPr>
            </w:pPr>
            <w:r w:rsidRPr="00285E0D">
              <w:rPr>
                <w:b/>
                <w:sz w:val="22"/>
                <w:szCs w:val="22"/>
              </w:rPr>
              <w:t>Other issues</w:t>
            </w:r>
          </w:p>
        </w:tc>
        <w:tc>
          <w:tcPr>
            <w:tcW w:w="6808" w:type="dxa"/>
            <w:gridSpan w:val="2"/>
            <w:shd w:val="clear" w:color="auto" w:fill="95B3D7" w:themeFill="accent1" w:themeFillTint="99"/>
          </w:tcPr>
          <w:p w:rsidR="008F4639" w:rsidRPr="00285E0D" w:rsidRDefault="008F4639" w:rsidP="00285E0D">
            <w:pPr>
              <w:spacing w:before="120" w:after="60"/>
              <w:rPr>
                <w:b/>
                <w:sz w:val="22"/>
                <w:szCs w:val="22"/>
              </w:rPr>
            </w:pPr>
            <w:r w:rsidRPr="00285E0D">
              <w:rPr>
                <w:b/>
                <w:sz w:val="22"/>
                <w:szCs w:val="22"/>
              </w:rPr>
              <w:t>Comments</w:t>
            </w:r>
          </w:p>
        </w:tc>
      </w:tr>
      <w:tr w:rsidR="008F4639" w:rsidRPr="00285E0D" w:rsidTr="008635AB">
        <w:trPr>
          <w:trHeight w:val="233"/>
        </w:trPr>
        <w:tc>
          <w:tcPr>
            <w:tcW w:w="2912" w:type="dxa"/>
          </w:tcPr>
          <w:p w:rsidR="008F4639" w:rsidRPr="00285E0D" w:rsidRDefault="008F4639" w:rsidP="00225A5F">
            <w:pPr>
              <w:spacing w:before="120" w:after="120"/>
              <w:rPr>
                <w:b/>
                <w:sz w:val="20"/>
                <w:szCs w:val="20"/>
              </w:rPr>
            </w:pPr>
            <w:r w:rsidRPr="00285E0D">
              <w:rPr>
                <w:b/>
                <w:sz w:val="20"/>
                <w:szCs w:val="20"/>
              </w:rPr>
              <w:lastRenderedPageBreak/>
              <w:t>Public Interest</w:t>
            </w:r>
          </w:p>
        </w:tc>
        <w:tc>
          <w:tcPr>
            <w:tcW w:w="6808" w:type="dxa"/>
            <w:gridSpan w:val="2"/>
            <w:shd w:val="clear" w:color="auto" w:fill="auto"/>
          </w:tcPr>
          <w:p w:rsidR="008F4639" w:rsidRPr="007E501A" w:rsidRDefault="00ED1248" w:rsidP="00ED1248">
            <w:pPr>
              <w:numPr>
                <w:ilvl w:val="0"/>
                <w:numId w:val="3"/>
              </w:numPr>
              <w:spacing w:before="40" w:after="40"/>
              <w:ind w:left="363" w:hanging="357"/>
              <w:rPr>
                <w:rFonts w:cs="Arial"/>
                <w:i/>
                <w:color w:val="000000"/>
                <w:sz w:val="20"/>
                <w:szCs w:val="20"/>
                <w:lang w:eastAsia="en-AU"/>
              </w:rPr>
            </w:pPr>
            <w:r w:rsidRPr="007E501A">
              <w:rPr>
                <w:rFonts w:cs="Arial"/>
                <w:i/>
                <w:color w:val="000000"/>
                <w:sz w:val="20"/>
                <w:szCs w:val="20"/>
                <w:lang w:eastAsia="en-AU"/>
              </w:rPr>
              <w:t>Self assessment of compliance to standards in order to extend expiry beyond 24 hours may not protect the public adequately if the product is contaminated during preparation</w:t>
            </w:r>
          </w:p>
        </w:tc>
      </w:tr>
      <w:tr w:rsidR="008F4639" w:rsidRPr="00285E0D" w:rsidTr="008635AB">
        <w:trPr>
          <w:trHeight w:val="233"/>
        </w:trPr>
        <w:tc>
          <w:tcPr>
            <w:tcW w:w="2912" w:type="dxa"/>
          </w:tcPr>
          <w:p w:rsidR="008F4639" w:rsidRPr="00285E0D" w:rsidRDefault="008F4639" w:rsidP="00225A5F">
            <w:pPr>
              <w:spacing w:before="120" w:after="120"/>
              <w:rPr>
                <w:b/>
                <w:sz w:val="20"/>
                <w:szCs w:val="20"/>
              </w:rPr>
            </w:pPr>
            <w:r w:rsidRPr="00285E0D">
              <w:rPr>
                <w:b/>
                <w:sz w:val="20"/>
                <w:szCs w:val="20"/>
              </w:rPr>
              <w:t>Implications for workforce</w:t>
            </w:r>
          </w:p>
        </w:tc>
        <w:tc>
          <w:tcPr>
            <w:tcW w:w="6808" w:type="dxa"/>
            <w:gridSpan w:val="2"/>
            <w:shd w:val="clear" w:color="auto" w:fill="auto"/>
          </w:tcPr>
          <w:p w:rsidR="008F4639" w:rsidRPr="00285E0D" w:rsidRDefault="00A4018A" w:rsidP="00ED1248">
            <w:pPr>
              <w:numPr>
                <w:ilvl w:val="0"/>
                <w:numId w:val="3"/>
              </w:numPr>
              <w:spacing w:before="40" w:after="40"/>
              <w:ind w:left="363" w:hanging="357"/>
              <w:rPr>
                <w:rFonts w:cs="Arial"/>
                <w:color w:val="000000"/>
                <w:sz w:val="20"/>
                <w:szCs w:val="20"/>
                <w:lang w:eastAsia="en-AU"/>
              </w:rPr>
            </w:pPr>
            <w:r>
              <w:rPr>
                <w:rFonts w:cs="Arial"/>
                <w:i/>
                <w:color w:val="000000"/>
                <w:sz w:val="20"/>
                <w:szCs w:val="20"/>
                <w:lang w:eastAsia="en-AU"/>
              </w:rPr>
              <w:t>Need to improve compliance with standards is supported. Resources need to be made available to ensure compliance, or otherwise compounding should not take place and be outsourced to TGA licensed facilities.</w:t>
            </w:r>
          </w:p>
        </w:tc>
      </w:tr>
      <w:tr w:rsidR="008F4639" w:rsidRPr="00285E0D" w:rsidTr="008635AB">
        <w:trPr>
          <w:trHeight w:val="233"/>
        </w:trPr>
        <w:tc>
          <w:tcPr>
            <w:tcW w:w="2912" w:type="dxa"/>
          </w:tcPr>
          <w:p w:rsidR="008F4639" w:rsidRPr="00285E0D" w:rsidRDefault="008F4639" w:rsidP="00225A5F">
            <w:pPr>
              <w:spacing w:before="120" w:after="120"/>
              <w:rPr>
                <w:b/>
                <w:sz w:val="20"/>
                <w:szCs w:val="20"/>
              </w:rPr>
            </w:pPr>
            <w:r w:rsidRPr="00285E0D">
              <w:rPr>
                <w:b/>
                <w:sz w:val="20"/>
                <w:szCs w:val="20"/>
              </w:rPr>
              <w:t>Legislative and regulatory issues</w:t>
            </w:r>
          </w:p>
        </w:tc>
        <w:tc>
          <w:tcPr>
            <w:tcW w:w="6808" w:type="dxa"/>
            <w:gridSpan w:val="2"/>
            <w:shd w:val="clear" w:color="auto" w:fill="auto"/>
          </w:tcPr>
          <w:p w:rsidR="008F4639" w:rsidRPr="00285E0D" w:rsidRDefault="00ED1248" w:rsidP="00225A5F">
            <w:pPr>
              <w:numPr>
                <w:ilvl w:val="0"/>
                <w:numId w:val="3"/>
              </w:numPr>
              <w:spacing w:before="40" w:after="40"/>
              <w:ind w:left="363" w:hanging="357"/>
              <w:rPr>
                <w:rFonts w:cs="Arial"/>
                <w:color w:val="000000"/>
                <w:sz w:val="20"/>
                <w:szCs w:val="20"/>
                <w:lang w:eastAsia="en-AU"/>
              </w:rPr>
            </w:pPr>
            <w:r>
              <w:rPr>
                <w:rFonts w:cs="Arial"/>
                <w:i/>
                <w:color w:val="000000"/>
                <w:sz w:val="20"/>
                <w:szCs w:val="20"/>
                <w:lang w:eastAsia="en-AU"/>
              </w:rPr>
              <w:t>What will be resp</w:t>
            </w:r>
            <w:r w:rsidR="00A4018A">
              <w:rPr>
                <w:rFonts w:cs="Arial"/>
                <w:i/>
                <w:color w:val="000000"/>
                <w:sz w:val="20"/>
                <w:szCs w:val="20"/>
                <w:lang w:eastAsia="en-AU"/>
              </w:rPr>
              <w:t xml:space="preserve">onsibility of each State jurisdiction to audit compliance? Where will the </w:t>
            </w:r>
            <w:r>
              <w:rPr>
                <w:rFonts w:cs="Arial"/>
                <w:i/>
                <w:color w:val="000000"/>
                <w:sz w:val="20"/>
                <w:szCs w:val="20"/>
                <w:lang w:eastAsia="en-AU"/>
              </w:rPr>
              <w:t>expertise</w:t>
            </w:r>
            <w:r w:rsidR="00A4018A">
              <w:rPr>
                <w:rFonts w:cs="Arial"/>
                <w:i/>
                <w:color w:val="000000"/>
                <w:sz w:val="20"/>
                <w:szCs w:val="20"/>
                <w:lang w:eastAsia="en-AU"/>
              </w:rPr>
              <w:t xml:space="preserve"> in State Health Departments come from?</w:t>
            </w:r>
          </w:p>
        </w:tc>
      </w:tr>
      <w:tr w:rsidR="008F4639" w:rsidRPr="00285E0D" w:rsidTr="008635AB">
        <w:trPr>
          <w:trHeight w:val="233"/>
        </w:trPr>
        <w:tc>
          <w:tcPr>
            <w:tcW w:w="2912" w:type="dxa"/>
          </w:tcPr>
          <w:p w:rsidR="008F4639" w:rsidRPr="00285E0D" w:rsidRDefault="008F4639" w:rsidP="00225A5F">
            <w:pPr>
              <w:spacing w:before="120" w:after="120"/>
              <w:rPr>
                <w:b/>
                <w:sz w:val="20"/>
                <w:szCs w:val="20"/>
              </w:rPr>
            </w:pPr>
            <w:r w:rsidRPr="00285E0D">
              <w:rPr>
                <w:b/>
                <w:sz w:val="20"/>
                <w:szCs w:val="20"/>
              </w:rPr>
              <w:t>Impact in rural and/or remote areas and other areas of workforce shortage</w:t>
            </w:r>
          </w:p>
        </w:tc>
        <w:tc>
          <w:tcPr>
            <w:tcW w:w="6808" w:type="dxa"/>
            <w:gridSpan w:val="2"/>
            <w:shd w:val="clear" w:color="auto" w:fill="auto"/>
          </w:tcPr>
          <w:p w:rsidR="008F4639" w:rsidRPr="00A4018A" w:rsidRDefault="00A4018A" w:rsidP="007E501A">
            <w:pPr>
              <w:numPr>
                <w:ilvl w:val="0"/>
                <w:numId w:val="3"/>
              </w:numPr>
              <w:spacing w:before="40" w:after="40"/>
              <w:ind w:left="363" w:hanging="357"/>
              <w:rPr>
                <w:rFonts w:cs="Arial"/>
                <w:i/>
                <w:color w:val="000000"/>
                <w:sz w:val="20"/>
                <w:szCs w:val="20"/>
                <w:lang w:eastAsia="en-AU"/>
              </w:rPr>
            </w:pPr>
            <w:r w:rsidRPr="00A4018A">
              <w:rPr>
                <w:rFonts w:cs="Arial"/>
                <w:i/>
                <w:color w:val="000000"/>
                <w:sz w:val="20"/>
                <w:szCs w:val="20"/>
                <w:lang w:eastAsia="en-AU"/>
              </w:rPr>
              <w:t>TGA licensed facilities can be contracted to provide compounded products with extended expiries</w:t>
            </w:r>
            <w:r>
              <w:rPr>
                <w:rFonts w:cs="Arial"/>
                <w:i/>
                <w:color w:val="000000"/>
                <w:sz w:val="20"/>
                <w:szCs w:val="20"/>
                <w:lang w:eastAsia="en-AU"/>
              </w:rPr>
              <w:t xml:space="preserve"> for delivery to rural and remote areas. Cost should not be a reason to compound to a lesser standard.</w:t>
            </w:r>
          </w:p>
        </w:tc>
      </w:tr>
      <w:tr w:rsidR="008F4639" w:rsidRPr="00285E0D" w:rsidTr="008635AB">
        <w:trPr>
          <w:trHeight w:val="233"/>
        </w:trPr>
        <w:tc>
          <w:tcPr>
            <w:tcW w:w="2912" w:type="dxa"/>
          </w:tcPr>
          <w:p w:rsidR="008F4639" w:rsidRPr="00285E0D" w:rsidRDefault="008F4639" w:rsidP="00225A5F">
            <w:pPr>
              <w:spacing w:before="120" w:after="120"/>
              <w:rPr>
                <w:b/>
                <w:sz w:val="20"/>
                <w:szCs w:val="20"/>
              </w:rPr>
            </w:pPr>
            <w:r w:rsidRPr="00285E0D">
              <w:rPr>
                <w:b/>
                <w:sz w:val="20"/>
                <w:szCs w:val="20"/>
              </w:rPr>
              <w:t>Timing of any proposed changes</w:t>
            </w:r>
          </w:p>
        </w:tc>
        <w:tc>
          <w:tcPr>
            <w:tcW w:w="6808" w:type="dxa"/>
            <w:gridSpan w:val="2"/>
            <w:shd w:val="clear" w:color="auto" w:fill="auto"/>
          </w:tcPr>
          <w:p w:rsidR="008F4639" w:rsidRPr="00285E0D" w:rsidRDefault="007E501A" w:rsidP="007E501A">
            <w:pPr>
              <w:numPr>
                <w:ilvl w:val="0"/>
                <w:numId w:val="3"/>
              </w:numPr>
              <w:spacing w:before="40" w:after="40"/>
              <w:ind w:left="363" w:hanging="357"/>
              <w:rPr>
                <w:rFonts w:cs="Arial"/>
                <w:color w:val="000000"/>
                <w:sz w:val="20"/>
                <w:szCs w:val="20"/>
              </w:rPr>
            </w:pPr>
            <w:r>
              <w:rPr>
                <w:rFonts w:cs="Arial"/>
                <w:i/>
                <w:color w:val="000000"/>
                <w:sz w:val="20"/>
                <w:szCs w:val="20"/>
                <w:lang w:eastAsia="en-AU"/>
              </w:rPr>
              <w:t>Transition arrangement should not be required. Meet the standard now or do not compound</w:t>
            </w:r>
            <w:r w:rsidR="00131B2E">
              <w:rPr>
                <w:rFonts w:cs="Arial"/>
                <w:i/>
                <w:color w:val="000000"/>
                <w:sz w:val="20"/>
                <w:szCs w:val="20"/>
                <w:lang w:eastAsia="en-AU"/>
              </w:rPr>
              <w:t>.</w:t>
            </w:r>
          </w:p>
        </w:tc>
      </w:tr>
    </w:tbl>
    <w:p w:rsidR="00A27C27" w:rsidRPr="004B3A69" w:rsidRDefault="00A27C27" w:rsidP="00A27C27">
      <w:pPr>
        <w:rPr>
          <w:sz w:val="20"/>
          <w:szCs w:val="20"/>
        </w:rPr>
      </w:pPr>
    </w:p>
    <w:sectPr w:rsidR="00A27C27" w:rsidRPr="004B3A69" w:rsidSect="00E20A29">
      <w:footerReference w:type="default" r:id="rId7"/>
      <w:pgSz w:w="11906" w:h="16838"/>
      <w:pgMar w:top="899"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22" w:rsidRDefault="00804F22">
      <w:r>
        <w:separator/>
      </w:r>
    </w:p>
  </w:endnote>
  <w:endnote w:type="continuationSeparator" w:id="0">
    <w:p w:rsidR="00804F22" w:rsidRDefault="0080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22" w:rsidRDefault="00804F22" w:rsidP="00E20A29">
    <w:pPr>
      <w:pStyle w:val="Footer"/>
      <w:pBdr>
        <w:bottom w:val="single" w:sz="12" w:space="1" w:color="auto"/>
      </w:pBdr>
      <w:tabs>
        <w:tab w:val="clear" w:pos="8306"/>
        <w:tab w:val="right" w:pos="9360"/>
      </w:tabs>
      <w:ind w:left="-360"/>
      <w:jc w:val="right"/>
      <w:rPr>
        <w:sz w:val="18"/>
        <w:szCs w:val="18"/>
      </w:rPr>
    </w:pPr>
  </w:p>
  <w:p w:rsidR="00804F22" w:rsidRPr="00560392" w:rsidRDefault="00804F22" w:rsidP="00E20A29">
    <w:pPr>
      <w:pStyle w:val="Footer"/>
      <w:spacing w:before="60"/>
      <w:ind w:left="-360"/>
      <w:jc w:val="right"/>
      <w:rPr>
        <w:sz w:val="18"/>
        <w:szCs w:val="18"/>
      </w:rPr>
    </w:pPr>
    <w:r w:rsidRPr="00560392">
      <w:rPr>
        <w:sz w:val="18"/>
        <w:szCs w:val="18"/>
      </w:rPr>
      <w:t xml:space="preserve">Page </w:t>
    </w:r>
    <w:r w:rsidRPr="00560392">
      <w:rPr>
        <w:rStyle w:val="PageNumber"/>
        <w:sz w:val="18"/>
        <w:szCs w:val="18"/>
      </w:rPr>
      <w:fldChar w:fldCharType="begin"/>
    </w:r>
    <w:r w:rsidRPr="00560392">
      <w:rPr>
        <w:rStyle w:val="PageNumber"/>
        <w:sz w:val="18"/>
        <w:szCs w:val="18"/>
      </w:rPr>
      <w:instrText xml:space="preserve"> PAGE </w:instrText>
    </w:r>
    <w:r w:rsidRPr="00560392">
      <w:rPr>
        <w:rStyle w:val="PageNumber"/>
        <w:sz w:val="18"/>
        <w:szCs w:val="18"/>
      </w:rPr>
      <w:fldChar w:fldCharType="separate"/>
    </w:r>
    <w:r w:rsidR="000E71F7">
      <w:rPr>
        <w:rStyle w:val="PageNumber"/>
        <w:noProof/>
        <w:sz w:val="18"/>
        <w:szCs w:val="18"/>
      </w:rPr>
      <w:t>1</w:t>
    </w:r>
    <w:r w:rsidRPr="00560392">
      <w:rPr>
        <w:rStyle w:val="PageNumber"/>
        <w:sz w:val="18"/>
        <w:szCs w:val="18"/>
      </w:rPr>
      <w:fldChar w:fldCharType="end"/>
    </w:r>
    <w:r>
      <w:rPr>
        <w:rStyle w:val="PageNumbe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22" w:rsidRDefault="00804F22">
      <w:r>
        <w:separator/>
      </w:r>
    </w:p>
  </w:footnote>
  <w:footnote w:type="continuationSeparator" w:id="0">
    <w:p w:rsidR="00804F22" w:rsidRDefault="00804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5F91"/>
    <w:multiLevelType w:val="hybridMultilevel"/>
    <w:tmpl w:val="72406048"/>
    <w:lvl w:ilvl="0" w:tplc="640A3FA0">
      <w:start w:val="1"/>
      <w:numFmt w:val="bullet"/>
      <w:lvlText w:val="-"/>
      <w:lvlJc w:val="left"/>
      <w:pPr>
        <w:tabs>
          <w:tab w:val="num" w:pos="360"/>
        </w:tabs>
        <w:ind w:left="360" w:hanging="360"/>
      </w:pPr>
      <w:rPr>
        <w:rFonts w:ascii="Arial" w:hAnsi="Arial" w:hint="default"/>
        <w:b w:val="0"/>
        <w:i w:val="0"/>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5B3DA3"/>
    <w:multiLevelType w:val="hybridMultilevel"/>
    <w:tmpl w:val="C2DE67F6"/>
    <w:lvl w:ilvl="0" w:tplc="04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BB7594"/>
    <w:multiLevelType w:val="hybridMultilevel"/>
    <w:tmpl w:val="1E841E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2E659A"/>
    <w:multiLevelType w:val="hybridMultilevel"/>
    <w:tmpl w:val="04E2BAA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AA4919"/>
    <w:multiLevelType w:val="hybridMultilevel"/>
    <w:tmpl w:val="1714CC7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703F"/>
    <w:rsid w:val="00042184"/>
    <w:rsid w:val="00044A7B"/>
    <w:rsid w:val="00047BBE"/>
    <w:rsid w:val="000549B1"/>
    <w:rsid w:val="0007685B"/>
    <w:rsid w:val="00091CB6"/>
    <w:rsid w:val="000D7170"/>
    <w:rsid w:val="000E71F7"/>
    <w:rsid w:val="00110294"/>
    <w:rsid w:val="00110360"/>
    <w:rsid w:val="001308E6"/>
    <w:rsid w:val="00131B2E"/>
    <w:rsid w:val="00147569"/>
    <w:rsid w:val="001507B7"/>
    <w:rsid w:val="00155444"/>
    <w:rsid w:val="001572AD"/>
    <w:rsid w:val="001C6879"/>
    <w:rsid w:val="001F492F"/>
    <w:rsid w:val="00211E92"/>
    <w:rsid w:val="0021527D"/>
    <w:rsid w:val="00225A5F"/>
    <w:rsid w:val="002436C0"/>
    <w:rsid w:val="002510E7"/>
    <w:rsid w:val="00257F0B"/>
    <w:rsid w:val="00261C36"/>
    <w:rsid w:val="00265A1E"/>
    <w:rsid w:val="00285E0D"/>
    <w:rsid w:val="002869D5"/>
    <w:rsid w:val="002955D8"/>
    <w:rsid w:val="002A1D48"/>
    <w:rsid w:val="002B0061"/>
    <w:rsid w:val="002C72CF"/>
    <w:rsid w:val="002D71AE"/>
    <w:rsid w:val="002F0AFB"/>
    <w:rsid w:val="002F1CD9"/>
    <w:rsid w:val="0030071C"/>
    <w:rsid w:val="0030409F"/>
    <w:rsid w:val="003152BD"/>
    <w:rsid w:val="00325B03"/>
    <w:rsid w:val="0033305A"/>
    <w:rsid w:val="00336B67"/>
    <w:rsid w:val="003436FE"/>
    <w:rsid w:val="00344168"/>
    <w:rsid w:val="003458C9"/>
    <w:rsid w:val="00356053"/>
    <w:rsid w:val="003574BA"/>
    <w:rsid w:val="0038268F"/>
    <w:rsid w:val="00397E3C"/>
    <w:rsid w:val="003A3DCA"/>
    <w:rsid w:val="003D5AE8"/>
    <w:rsid w:val="003E6BB1"/>
    <w:rsid w:val="00401209"/>
    <w:rsid w:val="00422BB1"/>
    <w:rsid w:val="00424931"/>
    <w:rsid w:val="004249CE"/>
    <w:rsid w:val="0042558E"/>
    <w:rsid w:val="004327B1"/>
    <w:rsid w:val="00433356"/>
    <w:rsid w:val="004524A5"/>
    <w:rsid w:val="0045703F"/>
    <w:rsid w:val="00465758"/>
    <w:rsid w:val="004679A7"/>
    <w:rsid w:val="00492EC8"/>
    <w:rsid w:val="004B54D9"/>
    <w:rsid w:val="004D361C"/>
    <w:rsid w:val="004D66CE"/>
    <w:rsid w:val="00517F1D"/>
    <w:rsid w:val="005212A5"/>
    <w:rsid w:val="005510C9"/>
    <w:rsid w:val="00551B8A"/>
    <w:rsid w:val="00562C53"/>
    <w:rsid w:val="00574CEA"/>
    <w:rsid w:val="0058445B"/>
    <w:rsid w:val="005A0D54"/>
    <w:rsid w:val="005B5E26"/>
    <w:rsid w:val="005D2A92"/>
    <w:rsid w:val="005D30E0"/>
    <w:rsid w:val="005F02A6"/>
    <w:rsid w:val="00614166"/>
    <w:rsid w:val="00623D24"/>
    <w:rsid w:val="00627415"/>
    <w:rsid w:val="00645BA9"/>
    <w:rsid w:val="00663749"/>
    <w:rsid w:val="00664966"/>
    <w:rsid w:val="006859EC"/>
    <w:rsid w:val="006A3DBE"/>
    <w:rsid w:val="006A7EFD"/>
    <w:rsid w:val="006C03C6"/>
    <w:rsid w:val="006C1875"/>
    <w:rsid w:val="006D1CF0"/>
    <w:rsid w:val="007053B3"/>
    <w:rsid w:val="00705E4E"/>
    <w:rsid w:val="007147D3"/>
    <w:rsid w:val="00740200"/>
    <w:rsid w:val="0074373C"/>
    <w:rsid w:val="00745873"/>
    <w:rsid w:val="007541E1"/>
    <w:rsid w:val="007749CF"/>
    <w:rsid w:val="007967F3"/>
    <w:rsid w:val="007C1515"/>
    <w:rsid w:val="007D3B1F"/>
    <w:rsid w:val="007E501A"/>
    <w:rsid w:val="00800A4D"/>
    <w:rsid w:val="00804F22"/>
    <w:rsid w:val="00807892"/>
    <w:rsid w:val="00825895"/>
    <w:rsid w:val="00825C35"/>
    <w:rsid w:val="00826301"/>
    <w:rsid w:val="008357D7"/>
    <w:rsid w:val="00836A69"/>
    <w:rsid w:val="00841304"/>
    <w:rsid w:val="0086141C"/>
    <w:rsid w:val="00862125"/>
    <w:rsid w:val="00862AEA"/>
    <w:rsid w:val="008635AB"/>
    <w:rsid w:val="00864891"/>
    <w:rsid w:val="0088117F"/>
    <w:rsid w:val="00896B73"/>
    <w:rsid w:val="008D0DE8"/>
    <w:rsid w:val="008E4074"/>
    <w:rsid w:val="008E5592"/>
    <w:rsid w:val="008F2887"/>
    <w:rsid w:val="008F4639"/>
    <w:rsid w:val="0091582C"/>
    <w:rsid w:val="00917590"/>
    <w:rsid w:val="00923221"/>
    <w:rsid w:val="00934395"/>
    <w:rsid w:val="00936AA5"/>
    <w:rsid w:val="00956272"/>
    <w:rsid w:val="00964890"/>
    <w:rsid w:val="009845E1"/>
    <w:rsid w:val="009B4690"/>
    <w:rsid w:val="009B70D0"/>
    <w:rsid w:val="009C4679"/>
    <w:rsid w:val="009C5814"/>
    <w:rsid w:val="009D1D3B"/>
    <w:rsid w:val="00A079FE"/>
    <w:rsid w:val="00A11D0F"/>
    <w:rsid w:val="00A17128"/>
    <w:rsid w:val="00A25CD2"/>
    <w:rsid w:val="00A27C27"/>
    <w:rsid w:val="00A400F9"/>
    <w:rsid w:val="00A4018A"/>
    <w:rsid w:val="00A65157"/>
    <w:rsid w:val="00A768FE"/>
    <w:rsid w:val="00A86CC9"/>
    <w:rsid w:val="00A8777A"/>
    <w:rsid w:val="00A97BE9"/>
    <w:rsid w:val="00AA33A3"/>
    <w:rsid w:val="00AA4B9C"/>
    <w:rsid w:val="00AA51A4"/>
    <w:rsid w:val="00AA6BCA"/>
    <w:rsid w:val="00AB0D92"/>
    <w:rsid w:val="00AC40D8"/>
    <w:rsid w:val="00AD18D4"/>
    <w:rsid w:val="00AE4EB6"/>
    <w:rsid w:val="00AF7D36"/>
    <w:rsid w:val="00B1714B"/>
    <w:rsid w:val="00B24EBE"/>
    <w:rsid w:val="00B25AA4"/>
    <w:rsid w:val="00B32987"/>
    <w:rsid w:val="00B45F97"/>
    <w:rsid w:val="00B6403F"/>
    <w:rsid w:val="00B7170F"/>
    <w:rsid w:val="00B77106"/>
    <w:rsid w:val="00B814F1"/>
    <w:rsid w:val="00B97BDD"/>
    <w:rsid w:val="00BA2C41"/>
    <w:rsid w:val="00BC330E"/>
    <w:rsid w:val="00BC5E21"/>
    <w:rsid w:val="00BD3853"/>
    <w:rsid w:val="00BD3A8D"/>
    <w:rsid w:val="00C12A6B"/>
    <w:rsid w:val="00C24377"/>
    <w:rsid w:val="00C24D64"/>
    <w:rsid w:val="00C47052"/>
    <w:rsid w:val="00C71919"/>
    <w:rsid w:val="00C90854"/>
    <w:rsid w:val="00C91785"/>
    <w:rsid w:val="00C92671"/>
    <w:rsid w:val="00CE2BC2"/>
    <w:rsid w:val="00CE3E5D"/>
    <w:rsid w:val="00CE5331"/>
    <w:rsid w:val="00CF44C6"/>
    <w:rsid w:val="00D027FB"/>
    <w:rsid w:val="00D30A75"/>
    <w:rsid w:val="00D33AFC"/>
    <w:rsid w:val="00D51FF7"/>
    <w:rsid w:val="00D732F4"/>
    <w:rsid w:val="00D766E0"/>
    <w:rsid w:val="00D7769F"/>
    <w:rsid w:val="00D84484"/>
    <w:rsid w:val="00D86036"/>
    <w:rsid w:val="00D86A27"/>
    <w:rsid w:val="00D96BB9"/>
    <w:rsid w:val="00DA1E94"/>
    <w:rsid w:val="00DA6819"/>
    <w:rsid w:val="00DB3B90"/>
    <w:rsid w:val="00DC110C"/>
    <w:rsid w:val="00DC548C"/>
    <w:rsid w:val="00DD3200"/>
    <w:rsid w:val="00DE4D5B"/>
    <w:rsid w:val="00DF4201"/>
    <w:rsid w:val="00DF60EB"/>
    <w:rsid w:val="00E16123"/>
    <w:rsid w:val="00E20A29"/>
    <w:rsid w:val="00E36815"/>
    <w:rsid w:val="00E76A1C"/>
    <w:rsid w:val="00E96DE8"/>
    <w:rsid w:val="00EC0404"/>
    <w:rsid w:val="00EC0B62"/>
    <w:rsid w:val="00EC1AEA"/>
    <w:rsid w:val="00EC61F5"/>
    <w:rsid w:val="00ED1248"/>
    <w:rsid w:val="00EE530C"/>
    <w:rsid w:val="00EF3A9D"/>
    <w:rsid w:val="00F108F0"/>
    <w:rsid w:val="00F20BB0"/>
    <w:rsid w:val="00F2229D"/>
    <w:rsid w:val="00F22910"/>
    <w:rsid w:val="00F34757"/>
    <w:rsid w:val="00F51059"/>
    <w:rsid w:val="00FB6FFD"/>
    <w:rsid w:val="00FB71DA"/>
    <w:rsid w:val="00FF6007"/>
    <w:rsid w:val="00FF6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64EF45-C323-4F89-A419-E1879B3B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5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27C27"/>
    <w:pPr>
      <w:tabs>
        <w:tab w:val="center" w:pos="4153"/>
        <w:tab w:val="right" w:pos="8306"/>
      </w:tabs>
    </w:pPr>
  </w:style>
  <w:style w:type="character" w:styleId="PageNumber">
    <w:name w:val="page number"/>
    <w:basedOn w:val="DefaultParagraphFont"/>
    <w:rsid w:val="00A27C27"/>
  </w:style>
  <w:style w:type="paragraph" w:styleId="BalloonText">
    <w:name w:val="Balloon Text"/>
    <w:basedOn w:val="Normal"/>
    <w:semiHidden/>
    <w:rsid w:val="00344168"/>
    <w:rPr>
      <w:rFonts w:ascii="Tahoma" w:hAnsi="Tahoma" w:cs="Tahoma"/>
      <w:sz w:val="16"/>
      <w:szCs w:val="16"/>
    </w:rPr>
  </w:style>
  <w:style w:type="paragraph" w:styleId="Header">
    <w:name w:val="header"/>
    <w:basedOn w:val="Normal"/>
    <w:rsid w:val="00E20A29"/>
    <w:pPr>
      <w:tabs>
        <w:tab w:val="center" w:pos="4153"/>
        <w:tab w:val="right" w:pos="8306"/>
      </w:tabs>
    </w:pPr>
  </w:style>
  <w:style w:type="paragraph" w:styleId="ListParagraph">
    <w:name w:val="List Paragraph"/>
    <w:basedOn w:val="Normal"/>
    <w:uiPriority w:val="34"/>
    <w:qFormat/>
    <w:rsid w:val="001572AD"/>
    <w:pPr>
      <w:ind w:left="720"/>
    </w:pPr>
    <w:rPr>
      <w:rFonts w:ascii="Calibri" w:eastAsia="Calibri" w:hAnsi="Calibri"/>
      <w:sz w:val="22"/>
      <w:szCs w:val="22"/>
      <w:lang w:eastAsia="en-AU"/>
    </w:rPr>
  </w:style>
  <w:style w:type="paragraph" w:customStyle="1" w:styleId="TableText">
    <w:name w:val="TableText"/>
    <w:basedOn w:val="Normal"/>
    <w:rsid w:val="003E6BB1"/>
    <w:pPr>
      <w:keepNext/>
      <w:spacing w:before="120" w:after="120"/>
    </w:pPr>
    <w:rPr>
      <w:rFonts w:ascii="Helvetica Narrow" w:eastAsia="Calibri" w:hAnsi="Helvetica Narrow"/>
      <w:color w:val="000000"/>
      <w:sz w:val="20"/>
    </w:rPr>
  </w:style>
  <w:style w:type="paragraph" w:customStyle="1" w:styleId="AHPRASubhead">
    <w:name w:val="AHPRA Subhead"/>
    <w:basedOn w:val="Normal"/>
    <w:qFormat/>
    <w:rsid w:val="00AD18D4"/>
    <w:pPr>
      <w:spacing w:after="200"/>
    </w:pPr>
    <w:rPr>
      <w:b/>
      <w:color w:val="008EC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0733">
      <w:bodyDiv w:val="1"/>
      <w:marLeft w:val="0"/>
      <w:marRight w:val="0"/>
      <w:marTop w:val="0"/>
      <w:marBottom w:val="0"/>
      <w:divBdr>
        <w:top w:val="none" w:sz="0" w:space="0" w:color="auto"/>
        <w:left w:val="none" w:sz="0" w:space="0" w:color="auto"/>
        <w:bottom w:val="none" w:sz="0" w:space="0" w:color="auto"/>
        <w:right w:val="none" w:sz="0" w:space="0" w:color="auto"/>
      </w:divBdr>
    </w:div>
    <w:div w:id="2973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6019</Characters>
  <Application>Microsoft Office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HWPC COMMENTS ON PHYSIOTHERAY BOARD OF AUSTRALIA’S STANDARDS AND GUIDELINES FOR LIMITED REGISTRATION</vt:lpstr>
    </vt:vector>
  </TitlesOfParts>
  <Company>Queensland Health</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compounding of medicines - Susan Alexander</dc:title>
  <dc:subject>Submission</dc:subject>
  <dc:creator>Pharmacy Board</dc:creator>
  <cp:lastModifiedBy>Sheryl Kamath</cp:lastModifiedBy>
  <cp:revision>2</cp:revision>
  <cp:lastPrinted>2016-02-05T02:27:00Z</cp:lastPrinted>
  <dcterms:created xsi:type="dcterms:W3CDTF">2016-10-21T02:14:00Z</dcterms:created>
  <dcterms:modified xsi:type="dcterms:W3CDTF">2016-10-21T02:14:00Z</dcterms:modified>
</cp:coreProperties>
</file>