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1" w:rsidRDefault="00930C76" w:rsidP="00930C76">
      <w:pPr>
        <w:pStyle w:val="AHPRAHeadline"/>
        <w:jc w:val="right"/>
        <w:rPr>
          <w:sz w:val="32"/>
          <w:szCs w:val="32"/>
        </w:rPr>
      </w:pPr>
      <w:r w:rsidRPr="00930C76">
        <w:rPr>
          <w:noProof/>
          <w:sz w:val="32"/>
          <w:szCs w:val="32"/>
          <w:lang w:val="en-US"/>
        </w:rPr>
        <w:drawing>
          <wp:inline distT="0" distB="0" distL="0" distR="0">
            <wp:extent cx="2673286" cy="1666809"/>
            <wp:effectExtent l="0" t="0" r="0" b="0"/>
            <wp:docPr id="2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13" cy="16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D3" w:rsidRPr="009678B7" w:rsidRDefault="00D91741" w:rsidP="009678B7">
      <w:pPr>
        <w:pStyle w:val="Title"/>
        <w:spacing w:before="0" w:after="200"/>
        <w:rPr>
          <w:sz w:val="28"/>
        </w:rPr>
      </w:pPr>
      <w:bookmarkStart w:id="0" w:name="OLE_LINK1"/>
      <w:bookmarkStart w:id="1" w:name="OLE_LINK2"/>
      <w:r w:rsidRPr="009678B7">
        <w:rPr>
          <w:sz w:val="28"/>
        </w:rPr>
        <w:t xml:space="preserve">Pharmacy Registrant </w:t>
      </w:r>
      <w:r w:rsidR="002856D3" w:rsidRPr="009678B7">
        <w:rPr>
          <w:sz w:val="28"/>
        </w:rPr>
        <w:t>Data</w:t>
      </w:r>
      <w:r w:rsidR="00AC5556" w:rsidRPr="009678B7">
        <w:rPr>
          <w:sz w:val="28"/>
        </w:rPr>
        <w:t xml:space="preserve">: </w:t>
      </w:r>
      <w:bookmarkStart w:id="2" w:name="OLE_LINK3"/>
      <w:bookmarkStart w:id="3" w:name="OLE_LINK4"/>
      <w:r w:rsidR="00F90C56">
        <w:rPr>
          <w:sz w:val="28"/>
        </w:rPr>
        <w:t>June</w:t>
      </w:r>
      <w:r w:rsidR="008D5AC7" w:rsidRPr="009678B7">
        <w:rPr>
          <w:sz w:val="28"/>
        </w:rPr>
        <w:t xml:space="preserve"> </w:t>
      </w:r>
      <w:r w:rsidR="000E3A86" w:rsidRPr="009678B7">
        <w:rPr>
          <w:sz w:val="28"/>
        </w:rPr>
        <w:t>201</w:t>
      </w:r>
      <w:r w:rsidR="009678B7">
        <w:rPr>
          <w:sz w:val="28"/>
        </w:rPr>
        <w:t>4</w:t>
      </w:r>
      <w:bookmarkEnd w:id="0"/>
      <w:bookmarkEnd w:id="1"/>
      <w:bookmarkEnd w:id="2"/>
      <w:bookmarkEnd w:id="3"/>
    </w:p>
    <w:p w:rsidR="002856D3" w:rsidRDefault="00DD33D5" w:rsidP="00A6592F">
      <w:pPr>
        <w:spacing w:after="0"/>
      </w:pPr>
      <w:r w:rsidRPr="00DD33D5">
        <w:rPr>
          <w:noProof/>
          <w:color w:val="60605B"/>
          <w:sz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VW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/NxFVh0CAAA7BAAADgAAAAAAAAAAAAAAAAAuAgAAZHJzL2Uyb0RvYy54bWxQSwECLQAU&#10;AAYACAAAACEAoJIsd9sAAAAGAQAADwAAAAAAAAAAAAAAAAB3BAAAZHJzL2Rvd25yZXYueG1sUEsF&#10;BgAAAAAEAAQA8wAAAH8FAAAAAA==&#10;"/>
        </w:pict>
      </w:r>
    </w:p>
    <w:p w:rsidR="00CE6182" w:rsidRDefault="00540B99" w:rsidP="009678B7">
      <w:pPr>
        <w:rPr>
          <w:sz w:val="20"/>
        </w:rPr>
      </w:pPr>
      <w:r w:rsidRPr="009678B7">
        <w:rPr>
          <w:rFonts w:ascii="Arial" w:hAnsi="Arial" w:cs="Arial"/>
          <w:sz w:val="20"/>
        </w:rPr>
        <w:t xml:space="preserve">Published </w:t>
      </w:r>
      <w:r w:rsidR="00F90C56">
        <w:rPr>
          <w:rFonts w:ascii="Arial" w:hAnsi="Arial" w:cs="Arial"/>
          <w:sz w:val="20"/>
        </w:rPr>
        <w:t>July</w:t>
      </w:r>
      <w:r w:rsidR="00930C76" w:rsidRPr="009678B7">
        <w:rPr>
          <w:rFonts w:ascii="Arial" w:hAnsi="Arial" w:cs="Arial"/>
          <w:sz w:val="20"/>
        </w:rPr>
        <w:t xml:space="preserve"> </w:t>
      </w:r>
      <w:r w:rsidR="00D91741" w:rsidRPr="009678B7">
        <w:rPr>
          <w:rFonts w:ascii="Arial" w:hAnsi="Arial" w:cs="Arial"/>
          <w:sz w:val="20"/>
        </w:rPr>
        <w:t>201</w:t>
      </w:r>
      <w:r w:rsidR="00A6592F" w:rsidRPr="009678B7">
        <w:rPr>
          <w:rFonts w:ascii="Arial" w:hAnsi="Arial" w:cs="Arial"/>
          <w:sz w:val="20"/>
        </w:rPr>
        <w:t>4</w:t>
      </w:r>
    </w:p>
    <w:p w:rsidR="002856D3" w:rsidRDefault="002856D3" w:rsidP="009678B7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9678B7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9678B7" w:rsidRPr="009678B7" w:rsidRDefault="009678B7" w:rsidP="009678B7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A60DA5" w:rsidRPr="00A60DA5" w:rsidRDefault="00A60DA5" w:rsidP="00A60DA5">
      <w:pPr>
        <w:pStyle w:val="BodyText"/>
        <w:spacing w:after="60"/>
        <w:rPr>
          <w:lang w:val="en-US"/>
        </w:rPr>
      </w:pPr>
      <w:r w:rsidRPr="00A60DA5">
        <w:rPr>
          <w:lang w:val="en-US"/>
        </w:rPr>
        <w:t>The functions of the Pharmacy Board of Australia include: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registering pharmacists and students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developing standards, codes and guidelines for the pharmacy  profession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60DA5">
        <w:rPr>
          <w:lang w:val="en-US"/>
        </w:rPr>
        <w:t>handling notifications, complaints, investigations and disciplinary hearings</w:t>
      </w:r>
    </w:p>
    <w:p w:rsidR="00A60DA5" w:rsidRPr="00A60DA5" w:rsidRDefault="00A44D81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r w:rsidRPr="00A44D81">
        <w:rPr>
          <w:lang w:val="en-US"/>
        </w:rPr>
        <w:t xml:space="preserve">overseeing the assessment of overseas trained practitioners who wish to </w:t>
      </w:r>
      <w:proofErr w:type="spellStart"/>
      <w:r w:rsidRPr="00A44D81">
        <w:rPr>
          <w:lang w:val="en-US"/>
        </w:rPr>
        <w:t>practise</w:t>
      </w:r>
      <w:proofErr w:type="spellEnd"/>
      <w:r w:rsidRPr="00A44D81">
        <w:rPr>
          <w:lang w:val="en-US"/>
        </w:rPr>
        <w:t xml:space="preserve"> in Australia</w:t>
      </w:r>
      <w:r w:rsidR="00A60DA5" w:rsidRPr="00A60DA5">
        <w:rPr>
          <w:lang w:val="en-US"/>
        </w:rPr>
        <w:t>  </w:t>
      </w:r>
    </w:p>
    <w:p w:rsidR="00A60DA5" w:rsidRPr="00A60DA5" w:rsidRDefault="00A60DA5" w:rsidP="00A60DA5">
      <w:pPr>
        <w:pStyle w:val="BodyText"/>
        <w:numPr>
          <w:ilvl w:val="0"/>
          <w:numId w:val="38"/>
        </w:numPr>
        <w:spacing w:after="60"/>
        <w:rPr>
          <w:lang w:val="en-US"/>
        </w:rPr>
      </w:pPr>
      <w:proofErr w:type="gramStart"/>
      <w:r w:rsidRPr="00A60DA5">
        <w:rPr>
          <w:lang w:val="en-US"/>
        </w:rPr>
        <w:t>approving</w:t>
      </w:r>
      <w:proofErr w:type="gramEnd"/>
      <w:r w:rsidRPr="00A60DA5">
        <w:rPr>
          <w:lang w:val="en-US"/>
        </w:rPr>
        <w:t xml:space="preserve">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9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10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1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A60DA5">
        <w:rPr>
          <w:rFonts w:ascii="Arial" w:hAnsi="Arial" w:cs="Arial"/>
          <w:sz w:val="20"/>
          <w:szCs w:val="20"/>
        </w:rPr>
        <w:t>pharmacy</w:t>
      </w:r>
      <w:r w:rsidR="0073330C">
        <w:rPr>
          <w:rFonts w:ascii="Arial" w:hAnsi="Arial" w:cs="Arial"/>
          <w:sz w:val="20"/>
          <w:szCs w:val="20"/>
        </w:rPr>
        <w:t xml:space="preserve">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2D738E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DD33D5" w:rsidP="00C13DBC">
      <w:pPr>
        <w:pStyle w:val="BodyText"/>
        <w:spacing w:after="60"/>
      </w:pPr>
      <w:hyperlink r:id="rId12" w:history="1">
        <w:r w:rsidR="00C34BD2" w:rsidRPr="00D96222">
          <w:rPr>
            <w:rStyle w:val="Hyperlink"/>
          </w:rPr>
          <w:t>www.pharmacyboard.gov.au/Registration.aspx</w:t>
        </w:r>
      </w:hyperlink>
      <w:r w:rsidR="00C13DBC">
        <w:t xml:space="preserve"> </w:t>
      </w:r>
    </w:p>
    <w:p w:rsidR="00C13DBC" w:rsidRDefault="00C13DBC" w:rsidP="00C13DBC">
      <w:pPr>
        <w:pStyle w:val="BodyText"/>
        <w:spacing w:after="60"/>
      </w:pPr>
    </w:p>
    <w:sdt>
      <w:sdtPr>
        <w:rPr>
          <w:rFonts w:asciiTheme="minorHAnsi" w:eastAsiaTheme="minorEastAsia" w:hAnsiTheme="minorHAnsi" w:cstheme="minorBidi"/>
          <w:sz w:val="22"/>
          <w:szCs w:val="22"/>
          <w:lang w:val="en-US"/>
        </w:rPr>
        <w:id w:val="19623789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63901" w:rsidRDefault="00463901" w:rsidP="00463901">
          <w:pPr>
            <w:pStyle w:val="AHPRAbody"/>
            <w:spacing w:after="0"/>
            <w:rPr>
              <w:rFonts w:ascii="Arial" w:eastAsia="Times New Roman" w:hAnsi="Arial" w:cs="Arial"/>
              <w:color w:val="007DC4"/>
              <w:sz w:val="28"/>
              <w:lang w:eastAsia="en-AU"/>
            </w:rPr>
          </w:pPr>
          <w:r w:rsidRPr="009678B7">
            <w:rPr>
              <w:rFonts w:ascii="Arial" w:eastAsia="Times New Roman" w:hAnsi="Arial" w:cs="Arial"/>
              <w:color w:val="007DC4"/>
              <w:sz w:val="28"/>
              <w:lang w:eastAsia="en-AU"/>
            </w:rPr>
            <w:t>Index of Tables</w:t>
          </w:r>
        </w:p>
        <w:p w:rsidR="00463901" w:rsidRDefault="00463901" w:rsidP="00463901">
          <w:pPr>
            <w:pStyle w:val="AHPRAbody"/>
            <w:spacing w:after="0"/>
          </w:pPr>
        </w:p>
        <w:p w:rsidR="00463901" w:rsidRPr="00463901" w:rsidRDefault="00DD33D5" w:rsidP="00463901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r w:rsidRPr="00DD33D5">
            <w:fldChar w:fldCharType="begin"/>
          </w:r>
          <w:r w:rsidR="00463901">
            <w:instrText xml:space="preserve"> TOC \o "1-3" \h \z \u </w:instrText>
          </w:r>
          <w:r w:rsidRPr="00DD33D5">
            <w:fldChar w:fldCharType="separate"/>
          </w:r>
          <w:hyperlink w:anchor="_Toc385254183" w:history="1">
            <w:r w:rsidR="00463901" w:rsidRPr="00463901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Pharmac</w:t>
            </w:r>
            <w:r w:rsidR="00BE3314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ists</w:t>
            </w:r>
            <w:r w:rsidR="00463901" w:rsidRPr="00463901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 xml:space="preserve"> – registration type and sub type by state or territory</w:t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_Toc385254183 \h </w:instrTex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A30AA6">
              <w:rPr>
                <w:rFonts w:ascii="Arial" w:hAnsi="Arial" w:cs="Arial"/>
                <w:noProof/>
                <w:webHidden/>
                <w:color w:val="0070C0"/>
                <w:sz w:val="20"/>
              </w:rPr>
              <w:t>2</w: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463901" w:rsidRPr="00463901" w:rsidRDefault="00DD33D5" w:rsidP="00463901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54184" w:history="1">
            <w:r w:rsidR="00BE3314" w:rsidRPr="00BE3314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Pharmacists</w:t>
            </w:r>
            <w:r w:rsidR="00463901" w:rsidRPr="00463901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 xml:space="preserve"> – percentage by principal place of practice</w:t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_Toc385254184 \h </w:instrTex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A30AA6">
              <w:rPr>
                <w:rFonts w:ascii="Arial" w:hAnsi="Arial" w:cs="Arial"/>
                <w:noProof/>
                <w:webHidden/>
                <w:color w:val="0070C0"/>
                <w:sz w:val="20"/>
              </w:rPr>
              <w:t>2</w: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463901" w:rsidRPr="00463901" w:rsidRDefault="00DD33D5" w:rsidP="00463901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54185" w:history="1">
            <w:r w:rsidR="00BE3314" w:rsidRPr="00BE3314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Pharmacists</w:t>
            </w:r>
            <w:r w:rsidR="00463901" w:rsidRPr="00463901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 xml:space="preserve"> – registration type and sub type by age group</w:t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_Toc385254185 \h </w:instrTex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A30AA6">
              <w:rPr>
                <w:rFonts w:ascii="Arial" w:hAnsi="Arial" w:cs="Arial"/>
                <w:noProof/>
                <w:webHidden/>
                <w:color w:val="0070C0"/>
                <w:sz w:val="20"/>
              </w:rPr>
              <w:t>3</w: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463901" w:rsidRPr="00463901" w:rsidRDefault="00DD33D5" w:rsidP="00463901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54186" w:history="1">
            <w:r w:rsidR="00BE3314" w:rsidRPr="00BE3314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Pharmacists</w:t>
            </w:r>
            <w:r w:rsidR="00463901" w:rsidRPr="00463901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 xml:space="preserve"> – registration type and sub type by gender</w:t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_Toc385254186 \h </w:instrTex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A30AA6">
              <w:rPr>
                <w:rFonts w:ascii="Arial" w:hAnsi="Arial" w:cs="Arial"/>
                <w:noProof/>
                <w:webHidden/>
                <w:color w:val="0070C0"/>
                <w:sz w:val="20"/>
              </w:rPr>
              <w:t>4</w: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463901" w:rsidRDefault="00DD33D5" w:rsidP="00463901">
          <w:pPr>
            <w:pStyle w:val="TOC3"/>
            <w:tabs>
              <w:tab w:val="right" w:leader="dot" w:pos="10450"/>
            </w:tabs>
            <w:ind w:left="0"/>
          </w:pPr>
          <w:hyperlink w:anchor="_Toc385254187" w:history="1">
            <w:r w:rsidR="00BE3314" w:rsidRPr="00BE3314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Pharmacists</w:t>
            </w:r>
            <w:r w:rsidR="00463901" w:rsidRPr="00463901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 xml:space="preserve"> – gender percentages</w:t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463901"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_Toc385254187 \h </w:instrTex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A30AA6">
              <w:rPr>
                <w:rFonts w:ascii="Arial" w:hAnsi="Arial" w:cs="Arial"/>
                <w:noProof/>
                <w:webHidden/>
                <w:color w:val="0070C0"/>
                <w:sz w:val="20"/>
              </w:rPr>
              <w:t>4</w:t>
            </w:r>
            <w:r w:rsidRPr="00463901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p w:rsidR="00A6592F" w:rsidRDefault="00A6592F" w:rsidP="00A6592F">
      <w:pPr>
        <w:pStyle w:val="AHPRAbody"/>
      </w:pPr>
    </w:p>
    <w:p w:rsidR="00463901" w:rsidRDefault="00463901" w:rsidP="00A6592F">
      <w:pPr>
        <w:pStyle w:val="AHPRAbody"/>
      </w:pPr>
    </w:p>
    <w:p w:rsidR="00463901" w:rsidRDefault="00463901" w:rsidP="00A6592F">
      <w:pPr>
        <w:pStyle w:val="AHPRAbody"/>
      </w:pPr>
    </w:p>
    <w:p w:rsidR="00463901" w:rsidRDefault="00463901" w:rsidP="00A6592F">
      <w:pPr>
        <w:pStyle w:val="AHPRAbody"/>
      </w:pPr>
    </w:p>
    <w:p w:rsidR="00463901" w:rsidRDefault="00463901" w:rsidP="00A6592F">
      <w:pPr>
        <w:pStyle w:val="AHPRAbody"/>
      </w:pPr>
    </w:p>
    <w:p w:rsidR="00463901" w:rsidRDefault="00463901" w:rsidP="00A6592F">
      <w:pPr>
        <w:pStyle w:val="AHPRAbody"/>
      </w:pPr>
    </w:p>
    <w:p w:rsidR="00463901" w:rsidRDefault="00463901">
      <w:pPr>
        <w:spacing w:after="0"/>
        <w:rPr>
          <w:rFonts w:ascii="Arial MT Lt" w:hAnsi="Arial MT Lt"/>
          <w:sz w:val="20"/>
        </w:rPr>
      </w:pPr>
      <w:r>
        <w:br w:type="page"/>
      </w:r>
    </w:p>
    <w:p w:rsidR="00A6592F" w:rsidRDefault="00A6592F" w:rsidP="00A6592F">
      <w:pPr>
        <w:pStyle w:val="AHPRAbody"/>
      </w:pPr>
    </w:p>
    <w:p w:rsidR="003C3167" w:rsidRDefault="003C3167" w:rsidP="009678B7">
      <w:pPr>
        <w:rPr>
          <w:sz w:val="2"/>
        </w:rPr>
      </w:pPr>
      <w:bookmarkStart w:id="4" w:name="_Toc378759472"/>
    </w:p>
    <w:p w:rsidR="00463901" w:rsidRPr="003C3167" w:rsidRDefault="00463901" w:rsidP="009678B7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9678B7" w:rsidRPr="009678B7" w:rsidTr="009678B7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9678B7" w:rsidRPr="009678B7" w:rsidRDefault="00BE3314" w:rsidP="009678B7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5" w:name="_Toc385254183"/>
            <w:r w:rsidRPr="00BE331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Pharmacists </w:t>
            </w:r>
            <w:r w:rsidR="009678B7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 registration type and sub type by state or territory</w:t>
            </w:r>
            <w:bookmarkEnd w:id="5"/>
          </w:p>
        </w:tc>
      </w:tr>
      <w:tr w:rsidR="009678B7" w:rsidRPr="009678B7" w:rsidTr="009678B7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BE3314" w:rsidP="00BE331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Registration Type/ Sub Type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78B7" w:rsidRPr="009678B7" w:rsidRDefault="009678B7" w:rsidP="009678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7,868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5,010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1,855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6,334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2,802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25,455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1,846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Limited (Total of Sub Types)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17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before="10" w:after="10"/>
              <w:ind w:left="567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17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Area of Need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Public Interest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9678B7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964</w:t>
            </w:r>
          </w:p>
        </w:tc>
      </w:tr>
      <w:tr w:rsidR="00094AC0" w:rsidRPr="009678B7" w:rsidTr="00094AC0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9678B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7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Total </w:t>
            </w:r>
            <w:r w:rsidR="00BE3314" w:rsidRPr="00BE33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Pharmacists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469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8,769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5,536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679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6,985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3,046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28,282</w:t>
            </w:r>
          </w:p>
        </w:tc>
      </w:tr>
    </w:tbl>
    <w:p w:rsidR="00933182" w:rsidRDefault="00933182" w:rsidP="009678B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  <w:r w:rsidRPr="009678B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Table </w:t>
      </w:r>
      <w:r w:rsidR="00DD33D5" w:rsidRPr="009678B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begin"/>
      </w:r>
      <w:r w:rsidRPr="009678B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DD33D5" w:rsidRPr="009678B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separate"/>
      </w:r>
      <w:r w:rsidR="00A30AA6">
        <w:rPr>
          <w:rStyle w:val="FooterChar"/>
          <w:rFonts w:ascii="Arial" w:hAnsi="Arial" w:cs="Arial"/>
          <w:i/>
          <w:iCs/>
          <w:noProof/>
          <w:color w:val="1F497D" w:themeColor="text2"/>
          <w:sz w:val="16"/>
          <w:szCs w:val="16"/>
        </w:rPr>
        <w:t>1</w:t>
      </w:r>
      <w:r w:rsidR="00DD33D5" w:rsidRPr="009678B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end"/>
      </w:r>
      <w:r w:rsidRPr="009678B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: </w:t>
      </w:r>
      <w:bookmarkEnd w:id="4"/>
      <w:r w:rsidR="00BE3314" w:rsidRPr="00BE3314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Pharmacists </w:t>
      </w:r>
      <w:r w:rsidR="009678B7" w:rsidRPr="009678B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– registration type and sub type by state or territory</w:t>
      </w:r>
    </w:p>
    <w:p w:rsidR="009678B7" w:rsidRDefault="009678B7" w:rsidP="009678B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3C3167" w:rsidRDefault="003C3167" w:rsidP="009678B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3C3167" w:rsidRDefault="003C3167" w:rsidP="009678B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3C3167" w:rsidRDefault="003C3167" w:rsidP="009678B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9678B7" w:rsidRDefault="009678B7" w:rsidP="009678B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9678B7" w:rsidRDefault="009678B7" w:rsidP="009678B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3C3167" w:rsidRDefault="00094AC0" w:rsidP="009139C5">
      <w:pPr>
        <w:pStyle w:val="Caption"/>
        <w:spacing w:after="60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570000" cy="3960000"/>
            <wp:effectExtent l="0" t="0" r="2540" b="254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82318E" w:rsidRPr="00BE3314" w:rsidRDefault="00BE3314" w:rsidP="0082318E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6" w:name="_Toc385254184"/>
      <w:r w:rsidRPr="00BE3314">
        <w:rPr>
          <w:rFonts w:eastAsia="Times New Roman" w:cs="Times New Roman"/>
          <w:b/>
          <w:noProof/>
          <w:color w:val="FFFFFF" w:themeColor="background1"/>
          <w:sz w:val="20"/>
        </w:rPr>
        <w:t xml:space="preserve">Pharmacists </w:t>
      </w:r>
      <w:r w:rsidR="0082318E" w:rsidRPr="00BE3314">
        <w:rPr>
          <w:rFonts w:eastAsia="Times New Roman" w:cs="Times New Roman"/>
          <w:b/>
          <w:noProof/>
          <w:color w:val="FFFFFF" w:themeColor="background1"/>
          <w:sz w:val="20"/>
        </w:rPr>
        <w:t>– percentage by principal place of practice</w:t>
      </w:r>
      <w:bookmarkEnd w:id="6"/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3C3167" w:rsidRDefault="003C3167" w:rsidP="009139C5">
      <w:pPr>
        <w:pStyle w:val="Caption"/>
        <w:spacing w:after="60"/>
        <w:rPr>
          <w:rFonts w:ascii="Arial" w:hAnsi="Arial" w:cs="Arial"/>
        </w:rPr>
      </w:pPr>
    </w:p>
    <w:p w:rsidR="00933182" w:rsidRPr="003C3167" w:rsidRDefault="00933182" w:rsidP="003C3167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  <w:r w:rsidRPr="003C316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Chart 1: </w:t>
      </w:r>
      <w:r w:rsidR="00BE3314" w:rsidRPr="00BE3314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Pharmacists </w:t>
      </w:r>
      <w:r w:rsidR="003C3167" w:rsidRPr="003C3167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– percentage by principal place of practice</w:t>
      </w:r>
    </w:p>
    <w:p w:rsidR="003C3167" w:rsidRDefault="003C3167" w:rsidP="003C3167"/>
    <w:p w:rsidR="003C3167" w:rsidRDefault="003C3167" w:rsidP="003C3167"/>
    <w:p w:rsidR="003C3167" w:rsidRDefault="003C3167" w:rsidP="003C3167"/>
    <w:p w:rsidR="00463901" w:rsidRDefault="00463901" w:rsidP="003C3167"/>
    <w:p w:rsidR="003C3167" w:rsidRDefault="003C3167" w:rsidP="003C3167"/>
    <w:p w:rsidR="003C3167" w:rsidRPr="003C3167" w:rsidRDefault="003C3167" w:rsidP="003C3167"/>
    <w:tbl>
      <w:tblPr>
        <w:tblW w:w="10343" w:type="dxa"/>
        <w:tblLayout w:type="fixed"/>
        <w:tblLook w:val="04A0"/>
      </w:tblPr>
      <w:tblGrid>
        <w:gridCol w:w="1860"/>
        <w:gridCol w:w="1004"/>
        <w:gridCol w:w="1033"/>
        <w:gridCol w:w="1133"/>
        <w:gridCol w:w="850"/>
        <w:gridCol w:w="850"/>
        <w:gridCol w:w="993"/>
        <w:gridCol w:w="1040"/>
        <w:gridCol w:w="782"/>
        <w:gridCol w:w="798"/>
      </w:tblGrid>
      <w:tr w:rsidR="003C3167" w:rsidRPr="003C3167" w:rsidTr="00094AC0">
        <w:trPr>
          <w:trHeight w:val="391"/>
        </w:trPr>
        <w:tc>
          <w:tcPr>
            <w:tcW w:w="10343" w:type="dxa"/>
            <w:gridSpan w:val="10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3C3167" w:rsidRPr="003C3167" w:rsidRDefault="00BE3314" w:rsidP="0082318E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7" w:name="_Toc385254185"/>
            <w:bookmarkStart w:id="8" w:name="_Toc378759473"/>
            <w:r w:rsidRPr="00BE331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Pharmacists </w:t>
            </w:r>
            <w:r w:rsidR="0082318E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 registration type and sub type</w:t>
            </w:r>
            <w:r w:rsidR="003C3167" w:rsidRPr="003C316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</w:t>
            </w:r>
            <w:r w:rsidR="0082318E" w:rsidRPr="0082318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a</w:t>
            </w:r>
            <w:r w:rsidR="003C3167" w:rsidRPr="003C316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ge</w:t>
            </w:r>
            <w:r w:rsidR="0082318E" w:rsidRPr="0082318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group</w:t>
            </w:r>
            <w:bookmarkEnd w:id="7"/>
          </w:p>
        </w:tc>
      </w:tr>
      <w:tr w:rsidR="003C3167" w:rsidRPr="003C3167" w:rsidTr="00094AC0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3C3167" w:rsidRPr="003C3167" w:rsidRDefault="00BE3314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E33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Pharmacists</w:t>
            </w:r>
          </w:p>
        </w:tc>
        <w:tc>
          <w:tcPr>
            <w:tcW w:w="6903" w:type="dxa"/>
            <w:gridSpan w:val="7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798" w:type="dxa"/>
            <w:vMerge w:val="restart"/>
            <w:tcBorders>
              <w:top w:val="single" w:sz="4" w:space="0" w:color="376092"/>
              <w:left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3C3167" w:rsidRPr="003C3167" w:rsidTr="00094AC0">
        <w:trPr>
          <w:trHeight w:val="289"/>
        </w:trPr>
        <w:tc>
          <w:tcPr>
            <w:tcW w:w="1860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after="0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3826" w:type="dxa"/>
            <w:gridSpan w:val="4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782" w:type="dxa"/>
            <w:vMerge/>
            <w:tcBorders>
              <w:left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8" w:type="dxa"/>
            <w:vMerge/>
            <w:tcBorders>
              <w:left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C3167" w:rsidRPr="003C3167" w:rsidTr="00094AC0">
        <w:trPr>
          <w:trHeight w:val="600"/>
        </w:trPr>
        <w:tc>
          <w:tcPr>
            <w:tcW w:w="1860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before="10" w:after="10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Area of Need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Public Interest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1040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2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8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3C3167" w:rsidRPr="003C3167" w:rsidRDefault="003C3167" w:rsidP="003C3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1,913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6.76%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5,647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6,252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22.11%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5,048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5,335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18.86%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3,309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3,517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12.44%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2,366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2,505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8.86%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1,923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2,037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7.20%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1,781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1,898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6.71%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1,768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6.25%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1,196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4.23%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898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3.18%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528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1.87%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324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0.39%</w:t>
            </w:r>
          </w:p>
        </w:tc>
      </w:tr>
      <w:tr w:rsidR="00094AC0" w:rsidRPr="003C3167" w:rsidTr="00094AC0">
        <w:trPr>
          <w:trHeight w:val="289"/>
        </w:trPr>
        <w:tc>
          <w:tcPr>
            <w:tcW w:w="186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3C3167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25,455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1,846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964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28,282</w:t>
            </w:r>
          </w:p>
        </w:tc>
        <w:tc>
          <w:tcPr>
            <w:tcW w:w="79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3C3167" w:rsidRDefault="00094AC0" w:rsidP="00094AC0">
            <w:pPr>
              <w:spacing w:after="0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31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933182" w:rsidRDefault="00933182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  <w:r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Table </w:t>
      </w:r>
      <w:r w:rsidR="00DD33D5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begin"/>
      </w:r>
      <w:r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DD33D5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separate"/>
      </w:r>
      <w:r w:rsidR="00A30AA6">
        <w:rPr>
          <w:rStyle w:val="FooterChar"/>
          <w:rFonts w:ascii="Arial" w:hAnsi="Arial" w:cs="Arial"/>
          <w:i/>
          <w:iCs/>
          <w:noProof/>
          <w:color w:val="1F497D" w:themeColor="text2"/>
          <w:sz w:val="16"/>
          <w:szCs w:val="16"/>
        </w:rPr>
        <w:t>2</w:t>
      </w:r>
      <w:r w:rsidR="00DD33D5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end"/>
      </w:r>
      <w:r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: </w:t>
      </w:r>
      <w:bookmarkEnd w:id="8"/>
      <w:r w:rsidR="00BE3314" w:rsidRPr="00BE3314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Pharmacists </w:t>
      </w:r>
      <w:r w:rsidR="0082318E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– registration type and sub type by age group</w:t>
      </w:r>
    </w:p>
    <w:p w:rsidR="0082318E" w:rsidRDefault="0082318E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82318E" w:rsidRDefault="0082318E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82318E" w:rsidRDefault="0082318E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82318E" w:rsidRDefault="00BE3314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  <w:r>
        <w:rPr>
          <w:noProof/>
          <w:lang w:val="en-US"/>
        </w:rPr>
        <w:drawing>
          <wp:inline distT="0" distB="0" distL="0" distR="0">
            <wp:extent cx="6642100" cy="2722880"/>
            <wp:effectExtent l="0" t="0" r="6350" b="12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182" w:rsidRPr="0082318E" w:rsidRDefault="00933182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  <w:r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Chart 2: </w:t>
      </w:r>
      <w:r w:rsidR="00BE3314" w:rsidRPr="00BE3314">
        <w:rPr>
          <w:rFonts w:ascii="Arial" w:hAnsi="Arial" w:cs="Arial"/>
          <w:i/>
          <w:iCs/>
          <w:color w:val="1F497D" w:themeColor="text2"/>
          <w:sz w:val="16"/>
          <w:szCs w:val="16"/>
        </w:rPr>
        <w:t xml:space="preserve">Pharmacists </w:t>
      </w:r>
      <w:r w:rsidR="0082318E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– by age group</w:t>
      </w:r>
    </w:p>
    <w:p w:rsidR="00A6592F" w:rsidRDefault="00A6592F" w:rsidP="00A6592F">
      <w:pPr>
        <w:pStyle w:val="AHPRAbody"/>
      </w:pPr>
    </w:p>
    <w:p w:rsidR="0082318E" w:rsidRDefault="0082318E" w:rsidP="00A6592F">
      <w:pPr>
        <w:pStyle w:val="AHPRAbody"/>
      </w:pPr>
    </w:p>
    <w:p w:rsidR="0082318E" w:rsidRDefault="0082318E" w:rsidP="00A6592F">
      <w:pPr>
        <w:pStyle w:val="AHPRAbody"/>
      </w:pPr>
    </w:p>
    <w:p w:rsidR="00BE3314" w:rsidRDefault="00BE3314" w:rsidP="00A6592F">
      <w:pPr>
        <w:pStyle w:val="AHPRAbody"/>
      </w:pPr>
    </w:p>
    <w:p w:rsidR="0082318E" w:rsidRDefault="0082318E" w:rsidP="00A6592F">
      <w:pPr>
        <w:pStyle w:val="AHPRAbody"/>
      </w:pPr>
    </w:p>
    <w:p w:rsidR="00463901" w:rsidRPr="00463901" w:rsidRDefault="00463901" w:rsidP="00A6592F">
      <w:pPr>
        <w:pStyle w:val="AHPRAbody"/>
        <w:rPr>
          <w:sz w:val="8"/>
        </w:rPr>
      </w:pPr>
    </w:p>
    <w:p w:rsidR="00463901" w:rsidRDefault="00463901" w:rsidP="00A6592F">
      <w:pPr>
        <w:pStyle w:val="AHPRAbody"/>
      </w:pPr>
    </w:p>
    <w:tbl>
      <w:tblPr>
        <w:tblW w:w="10352" w:type="dxa"/>
        <w:tblLayout w:type="fixed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39"/>
        <w:gridCol w:w="9"/>
      </w:tblGrid>
      <w:tr w:rsidR="0082318E" w:rsidRPr="0082318E" w:rsidTr="0082318E">
        <w:trPr>
          <w:trHeight w:val="391"/>
        </w:trPr>
        <w:tc>
          <w:tcPr>
            <w:tcW w:w="10352" w:type="dxa"/>
            <w:gridSpan w:val="1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82318E" w:rsidRPr="0082318E" w:rsidRDefault="00BE3314" w:rsidP="0082318E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9" w:name="_Toc385254186"/>
            <w:r w:rsidRPr="00BE3314">
              <w:rPr>
                <w:rFonts w:eastAsia="Times New Roman" w:cs="Times New Roman"/>
                <w:b/>
                <w:bCs/>
                <w:noProof/>
                <w:color w:val="FFFFFF" w:themeColor="background1"/>
                <w:sz w:val="20"/>
              </w:rPr>
              <w:t>Pharmacists</w:t>
            </w:r>
            <w:r w:rsidRPr="00BE331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 w:rsidR="0082318E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 registration type and sub type</w:t>
            </w:r>
            <w:r w:rsidR="0082318E" w:rsidRPr="003C316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</w:t>
            </w:r>
            <w:r w:rsidR="0082318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g</w:t>
            </w:r>
            <w:r w:rsidR="0082318E" w:rsidRPr="0082318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ender</w:t>
            </w:r>
            <w:bookmarkEnd w:id="9"/>
          </w:p>
        </w:tc>
      </w:tr>
      <w:tr w:rsidR="0082318E" w:rsidRPr="0082318E" w:rsidTr="0082318E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BE3314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E33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Pharmacists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1,216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4,169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1,872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17,015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4,668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3,007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1,111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3,761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1,715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15,221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1,178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Limited (Total of Sub Types)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12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12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Area of Need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Public Interest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604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3,529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2,186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2,816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11,267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3,200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2,003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2,573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1,087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10,234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668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Limited (Total of Sub Types)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5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Area of Need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Public Interest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left="567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i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360</w:t>
            </w:r>
          </w:p>
        </w:tc>
      </w:tr>
      <w:tr w:rsidR="00094AC0" w:rsidRPr="0082318E" w:rsidTr="00094AC0">
        <w:trPr>
          <w:gridAfter w:val="1"/>
          <w:wAfter w:w="9" w:type="dxa"/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94AC0" w:rsidRPr="0082318E" w:rsidRDefault="00094AC0" w:rsidP="00094A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  <w:r w:rsidR="00BE3314" w:rsidRPr="00BE3314">
              <w:rPr>
                <w:b/>
                <w:bCs/>
                <w:sz w:val="19"/>
                <w:szCs w:val="19"/>
              </w:rPr>
              <w:t xml:space="preserve"> </w:t>
            </w:r>
            <w:r w:rsidR="00BE3314" w:rsidRPr="00BE33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Pharmacists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8,769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5,536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6,985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3,046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94AC0" w:rsidRPr="00094AC0" w:rsidRDefault="00094AC0" w:rsidP="00094AC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94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28,282</w:t>
            </w:r>
          </w:p>
        </w:tc>
      </w:tr>
    </w:tbl>
    <w:p w:rsidR="00A6592F" w:rsidRDefault="00933182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  <w:bookmarkStart w:id="10" w:name="_Toc378759474"/>
      <w:r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Table </w:t>
      </w:r>
      <w:r w:rsidR="00DD33D5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begin"/>
      </w:r>
      <w:r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DD33D5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separate"/>
      </w:r>
      <w:r w:rsidR="00A30AA6">
        <w:rPr>
          <w:rStyle w:val="FooterChar"/>
          <w:rFonts w:ascii="Arial" w:hAnsi="Arial" w:cs="Arial"/>
          <w:i/>
          <w:iCs/>
          <w:noProof/>
          <w:color w:val="1F497D" w:themeColor="text2"/>
          <w:sz w:val="16"/>
          <w:szCs w:val="16"/>
        </w:rPr>
        <w:t>3</w:t>
      </w:r>
      <w:r w:rsidR="00DD33D5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end"/>
      </w:r>
      <w:r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: </w:t>
      </w:r>
      <w:bookmarkEnd w:id="10"/>
      <w:r w:rsidR="00BE3314" w:rsidRPr="00BE3314">
        <w:rPr>
          <w:rFonts w:ascii="Arial" w:hAnsi="Arial" w:cs="Arial"/>
          <w:i/>
          <w:iCs/>
          <w:color w:val="1F497D" w:themeColor="text2"/>
          <w:sz w:val="16"/>
          <w:szCs w:val="16"/>
        </w:rPr>
        <w:t xml:space="preserve">Pharmacists </w:t>
      </w:r>
      <w:r w:rsidR="0082318E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– reg</w:t>
      </w:r>
      <w:r w:rsid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istration type and sub type by g</w:t>
      </w:r>
      <w:r w:rsidR="0082318E" w:rsidRPr="0082318E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ender</w:t>
      </w:r>
    </w:p>
    <w:p w:rsidR="0082318E" w:rsidRDefault="0082318E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82318E" w:rsidRDefault="0082318E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82318E" w:rsidRDefault="0082318E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p w:rsidR="0082318E" w:rsidRDefault="0082318E" w:rsidP="0082318E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092"/>
        <w:gridCol w:w="825"/>
        <w:gridCol w:w="825"/>
        <w:gridCol w:w="826"/>
        <w:gridCol w:w="825"/>
        <w:gridCol w:w="826"/>
        <w:gridCol w:w="825"/>
        <w:gridCol w:w="825"/>
        <w:gridCol w:w="826"/>
        <w:gridCol w:w="825"/>
        <w:gridCol w:w="826"/>
      </w:tblGrid>
      <w:tr w:rsidR="0082318E" w:rsidRPr="0082318E" w:rsidTr="0082318E">
        <w:trPr>
          <w:trHeight w:val="435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82318E" w:rsidRPr="0082318E" w:rsidRDefault="00BE3314" w:rsidP="00463901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11" w:name="_Toc385254187"/>
            <w:r w:rsidRPr="00BE3314">
              <w:rPr>
                <w:rFonts w:eastAsia="Times New Roman" w:cs="Times New Roman"/>
                <w:b/>
                <w:bCs/>
                <w:noProof/>
                <w:color w:val="FFFFFF" w:themeColor="background1"/>
                <w:sz w:val="20"/>
              </w:rPr>
              <w:t>Pharmacists</w:t>
            </w:r>
            <w:r w:rsidRPr="00BE331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 w:rsidR="00463901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 w:rsidR="00463901" w:rsidRPr="00463901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gender percentages</w:t>
            </w:r>
            <w:bookmarkEnd w:id="11"/>
          </w:p>
        </w:tc>
      </w:tr>
      <w:tr w:rsidR="0082318E" w:rsidRPr="0082318E" w:rsidTr="0082318E">
        <w:trPr>
          <w:trHeight w:val="390"/>
        </w:trPr>
        <w:tc>
          <w:tcPr>
            <w:tcW w:w="209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BE3314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BE33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Pharmacists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ACT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QLD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SA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VIC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WA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No PPP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2318E" w:rsidRPr="0082318E" w:rsidRDefault="0082318E" w:rsidP="008231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Total</w:t>
            </w:r>
          </w:p>
        </w:tc>
      </w:tr>
      <w:tr w:rsidR="00094AC0" w:rsidRPr="0082318E" w:rsidTr="00C0407D">
        <w:trPr>
          <w:trHeight w:val="288"/>
        </w:trPr>
        <w:tc>
          <w:tcPr>
            <w:tcW w:w="209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Female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66.52%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59.76%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62.26%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60.51%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59.81%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55.38%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59.69%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61.46%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62.93%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60.16%</w:t>
            </w:r>
          </w:p>
        </w:tc>
      </w:tr>
      <w:tr w:rsidR="00094AC0" w:rsidRPr="0082318E" w:rsidTr="00C0407D">
        <w:trPr>
          <w:trHeight w:val="288"/>
        </w:trPr>
        <w:tc>
          <w:tcPr>
            <w:tcW w:w="209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94AC0" w:rsidRPr="0082318E" w:rsidRDefault="00094AC0" w:rsidP="00094AC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823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Male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33.48%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40.24%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37.74%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39.49%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40.19%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44.62%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40.31%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38.54%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37.07%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94AC0" w:rsidRPr="00C0407D" w:rsidRDefault="00094AC0" w:rsidP="00C040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C040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39.84%</w:t>
            </w:r>
          </w:p>
        </w:tc>
      </w:tr>
    </w:tbl>
    <w:p w:rsidR="00933182" w:rsidRPr="00463901" w:rsidRDefault="00933182" w:rsidP="00463901">
      <w:pPr>
        <w:pStyle w:val="NoSpacing"/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</w:pPr>
      <w:bookmarkStart w:id="12" w:name="_Toc378759475"/>
      <w:r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Table </w:t>
      </w:r>
      <w:r w:rsidR="00DD33D5"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begin"/>
      </w:r>
      <w:r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DD33D5"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separate"/>
      </w:r>
      <w:r w:rsidR="00A30AA6">
        <w:rPr>
          <w:rStyle w:val="FooterChar"/>
          <w:rFonts w:ascii="Arial" w:hAnsi="Arial" w:cs="Arial"/>
          <w:i/>
          <w:iCs/>
          <w:noProof/>
          <w:color w:val="1F497D" w:themeColor="text2"/>
          <w:sz w:val="16"/>
          <w:szCs w:val="16"/>
        </w:rPr>
        <w:t>4</w:t>
      </w:r>
      <w:r w:rsidR="00DD33D5"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fldChar w:fldCharType="end"/>
      </w:r>
      <w:r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: </w:t>
      </w:r>
      <w:bookmarkEnd w:id="12"/>
      <w:r w:rsidR="00BE3314" w:rsidRPr="00BE3314">
        <w:rPr>
          <w:rFonts w:ascii="Arial" w:hAnsi="Arial" w:cs="Arial"/>
          <w:i/>
          <w:iCs/>
          <w:color w:val="1F497D" w:themeColor="text2"/>
          <w:sz w:val="16"/>
          <w:szCs w:val="16"/>
        </w:rPr>
        <w:t>Pharmacists</w:t>
      </w:r>
      <w:r w:rsidR="00BE3314"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 xml:space="preserve"> </w:t>
      </w:r>
      <w:r w:rsidR="00463901" w:rsidRPr="00463901">
        <w:rPr>
          <w:rStyle w:val="FooterChar"/>
          <w:rFonts w:ascii="Arial" w:hAnsi="Arial" w:cs="Arial"/>
          <w:i/>
          <w:iCs/>
          <w:color w:val="1F497D" w:themeColor="text2"/>
          <w:sz w:val="16"/>
          <w:szCs w:val="16"/>
        </w:rPr>
        <w:t>– gender percentages</w:t>
      </w:r>
    </w:p>
    <w:p w:rsidR="00A6592F" w:rsidRDefault="00A6592F" w:rsidP="00A6592F">
      <w:pPr>
        <w:pStyle w:val="AHPRAbody"/>
      </w:pPr>
      <w:bookmarkStart w:id="13" w:name="_GoBack"/>
      <w:bookmarkEnd w:id="13"/>
    </w:p>
    <w:sectPr w:rsidR="00A6592F" w:rsidSect="009678B7">
      <w:footerReference w:type="default" r:id="rId15"/>
      <w:footerReference w:type="first" r:id="rId16"/>
      <w:type w:val="continuous"/>
      <w:pgSz w:w="11900" w:h="16840" w:code="9"/>
      <w:pgMar w:top="720" w:right="720" w:bottom="720" w:left="720" w:header="1134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14" w:rsidRDefault="00BE3314">
      <w:pPr>
        <w:spacing w:after="0"/>
      </w:pPr>
      <w:r>
        <w:separator/>
      </w:r>
    </w:p>
  </w:endnote>
  <w:endnote w:type="continuationSeparator" w:id="0">
    <w:p w:rsidR="00BE3314" w:rsidRDefault="00BE33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5896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E3314" w:rsidRDefault="00BE3314">
            <w:pPr>
              <w:pStyle w:val="Footer"/>
              <w:jc w:val="right"/>
            </w:pPr>
            <w:r w:rsidRPr="003C316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D33D5" w:rsidRPr="003C316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3167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D33D5" w:rsidRPr="003C31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467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DD33D5" w:rsidRPr="003C316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316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D33D5" w:rsidRPr="003C316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3167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D33D5" w:rsidRPr="003C31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467C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DD33D5" w:rsidRPr="003C316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E3314" w:rsidRPr="003C3167" w:rsidRDefault="00BE3314" w:rsidP="003C31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14" w:rsidRPr="00E77E23" w:rsidRDefault="00BE3314" w:rsidP="009678B7">
    <w:pPr>
      <w:pStyle w:val="AHPRAfirstpagefooter"/>
    </w:pPr>
    <w:r>
      <w:rPr>
        <w:color w:val="007DC3"/>
      </w:rPr>
      <w:t>Pharmacy</w:t>
    </w:r>
    <w:r w:rsidRPr="00E77E23">
      <w:t xml:space="preserve"> </w:t>
    </w:r>
    <w:r>
      <w:t>Board of Australia</w:t>
    </w:r>
  </w:p>
  <w:p w:rsidR="00BE3314" w:rsidRPr="00A6592F" w:rsidRDefault="00BE3314" w:rsidP="009678B7">
    <w:pPr>
      <w:pStyle w:val="AHPRAfooter"/>
      <w:jc w:val="center"/>
      <w:rPr>
        <w:sz w:val="16"/>
      </w:rPr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F358B9">
      <w:t>pharmacyboard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14" w:rsidRDefault="00BE3314">
      <w:pPr>
        <w:spacing w:after="0"/>
      </w:pPr>
      <w:r>
        <w:separator/>
      </w:r>
    </w:p>
  </w:footnote>
  <w:footnote w:type="continuationSeparator" w:id="0">
    <w:p w:rsidR="00BE3314" w:rsidRDefault="00BE33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A47"/>
    <w:multiLevelType w:val="multilevel"/>
    <w:tmpl w:val="F7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32E48"/>
    <w:multiLevelType w:val="multilevel"/>
    <w:tmpl w:val="653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0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7"/>
  </w:num>
  <w:num w:numId="4">
    <w:abstractNumId w:val="12"/>
  </w:num>
  <w:num w:numId="5">
    <w:abstractNumId w:val="32"/>
  </w:num>
  <w:num w:numId="6">
    <w:abstractNumId w:val="5"/>
  </w:num>
  <w:num w:numId="7">
    <w:abstractNumId w:val="25"/>
  </w:num>
  <w:num w:numId="8">
    <w:abstractNumId w:val="35"/>
  </w:num>
  <w:num w:numId="9">
    <w:abstractNumId w:val="34"/>
  </w:num>
  <w:num w:numId="10">
    <w:abstractNumId w:val="27"/>
  </w:num>
  <w:num w:numId="11">
    <w:abstractNumId w:val="33"/>
  </w:num>
  <w:num w:numId="12">
    <w:abstractNumId w:val="29"/>
  </w:num>
  <w:num w:numId="13">
    <w:abstractNumId w:val="9"/>
  </w:num>
  <w:num w:numId="14">
    <w:abstractNumId w:val="0"/>
  </w:num>
  <w:num w:numId="15">
    <w:abstractNumId w:val="28"/>
  </w:num>
  <w:num w:numId="16">
    <w:abstractNumId w:val="1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5"/>
  </w:num>
  <w:num w:numId="22">
    <w:abstractNumId w:val="30"/>
  </w:num>
  <w:num w:numId="23">
    <w:abstractNumId w:val="18"/>
  </w:num>
  <w:num w:numId="24">
    <w:abstractNumId w:val="36"/>
  </w:num>
  <w:num w:numId="25">
    <w:abstractNumId w:val="31"/>
  </w:num>
  <w:num w:numId="26">
    <w:abstractNumId w:val="8"/>
  </w:num>
  <w:num w:numId="27">
    <w:abstractNumId w:val="7"/>
  </w:num>
  <w:num w:numId="28">
    <w:abstractNumId w:val="11"/>
  </w:num>
  <w:num w:numId="29">
    <w:abstractNumId w:val="22"/>
  </w:num>
  <w:num w:numId="30">
    <w:abstractNumId w:val="3"/>
  </w:num>
  <w:num w:numId="31">
    <w:abstractNumId w:val="26"/>
  </w:num>
  <w:num w:numId="32">
    <w:abstractNumId w:val="6"/>
  </w:num>
  <w:num w:numId="33">
    <w:abstractNumId w:val="16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210F1"/>
    <w:rsid w:val="00027303"/>
    <w:rsid w:val="00053648"/>
    <w:rsid w:val="000719AE"/>
    <w:rsid w:val="00094AC0"/>
    <w:rsid w:val="000961FF"/>
    <w:rsid w:val="000A1E54"/>
    <w:rsid w:val="000C5351"/>
    <w:rsid w:val="000E3A86"/>
    <w:rsid w:val="00147247"/>
    <w:rsid w:val="00157E8C"/>
    <w:rsid w:val="001714F3"/>
    <w:rsid w:val="0017320A"/>
    <w:rsid w:val="00184700"/>
    <w:rsid w:val="001E006E"/>
    <w:rsid w:val="002054D3"/>
    <w:rsid w:val="002240A8"/>
    <w:rsid w:val="002504B0"/>
    <w:rsid w:val="002856D3"/>
    <w:rsid w:val="0028594E"/>
    <w:rsid w:val="00293003"/>
    <w:rsid w:val="002A3615"/>
    <w:rsid w:val="002A404B"/>
    <w:rsid w:val="002D66F4"/>
    <w:rsid w:val="002D738E"/>
    <w:rsid w:val="00316502"/>
    <w:rsid w:val="00340E3B"/>
    <w:rsid w:val="00341825"/>
    <w:rsid w:val="003426E6"/>
    <w:rsid w:val="003443E8"/>
    <w:rsid w:val="0035646C"/>
    <w:rsid w:val="00395E76"/>
    <w:rsid w:val="0039608B"/>
    <w:rsid w:val="003B51EE"/>
    <w:rsid w:val="003C3167"/>
    <w:rsid w:val="003D0FB3"/>
    <w:rsid w:val="003E74AE"/>
    <w:rsid w:val="00420005"/>
    <w:rsid w:val="00430AEC"/>
    <w:rsid w:val="0045382A"/>
    <w:rsid w:val="00457598"/>
    <w:rsid w:val="00463901"/>
    <w:rsid w:val="0046467C"/>
    <w:rsid w:val="004D69E1"/>
    <w:rsid w:val="00511C61"/>
    <w:rsid w:val="00540B99"/>
    <w:rsid w:val="0054333B"/>
    <w:rsid w:val="0056711E"/>
    <w:rsid w:val="0058255F"/>
    <w:rsid w:val="00583837"/>
    <w:rsid w:val="0058580A"/>
    <w:rsid w:val="005859AD"/>
    <w:rsid w:val="005920C1"/>
    <w:rsid w:val="00606B27"/>
    <w:rsid w:val="006202EA"/>
    <w:rsid w:val="00626C02"/>
    <w:rsid w:val="00670608"/>
    <w:rsid w:val="00687A0C"/>
    <w:rsid w:val="006B253A"/>
    <w:rsid w:val="0070499B"/>
    <w:rsid w:val="00723BB3"/>
    <w:rsid w:val="0073330C"/>
    <w:rsid w:val="00766137"/>
    <w:rsid w:val="007D0B0B"/>
    <w:rsid w:val="00813CF7"/>
    <w:rsid w:val="0082318E"/>
    <w:rsid w:val="008235D7"/>
    <w:rsid w:val="008560CA"/>
    <w:rsid w:val="008677F0"/>
    <w:rsid w:val="00876BDA"/>
    <w:rsid w:val="00883470"/>
    <w:rsid w:val="008B30B3"/>
    <w:rsid w:val="008C44F3"/>
    <w:rsid w:val="008D2372"/>
    <w:rsid w:val="008D5AC7"/>
    <w:rsid w:val="008E3817"/>
    <w:rsid w:val="008E6DE9"/>
    <w:rsid w:val="008F2EC1"/>
    <w:rsid w:val="009139C5"/>
    <w:rsid w:val="00925157"/>
    <w:rsid w:val="00925F73"/>
    <w:rsid w:val="00930C76"/>
    <w:rsid w:val="00933182"/>
    <w:rsid w:val="00966D87"/>
    <w:rsid w:val="009678B7"/>
    <w:rsid w:val="00972BFF"/>
    <w:rsid w:val="00986FD6"/>
    <w:rsid w:val="009A749D"/>
    <w:rsid w:val="009B670C"/>
    <w:rsid w:val="009C3DB2"/>
    <w:rsid w:val="009E108A"/>
    <w:rsid w:val="00A057DE"/>
    <w:rsid w:val="00A07090"/>
    <w:rsid w:val="00A17ECA"/>
    <w:rsid w:val="00A20EF6"/>
    <w:rsid w:val="00A264FA"/>
    <w:rsid w:val="00A2711A"/>
    <w:rsid w:val="00A30AA6"/>
    <w:rsid w:val="00A44D81"/>
    <w:rsid w:val="00A6044E"/>
    <w:rsid w:val="00A60DA5"/>
    <w:rsid w:val="00A6592F"/>
    <w:rsid w:val="00A73CED"/>
    <w:rsid w:val="00A809EF"/>
    <w:rsid w:val="00A81605"/>
    <w:rsid w:val="00AA54F3"/>
    <w:rsid w:val="00AA6DDB"/>
    <w:rsid w:val="00AB0869"/>
    <w:rsid w:val="00AC056C"/>
    <w:rsid w:val="00AC5556"/>
    <w:rsid w:val="00AF2DBE"/>
    <w:rsid w:val="00B0021E"/>
    <w:rsid w:val="00B00C02"/>
    <w:rsid w:val="00B01454"/>
    <w:rsid w:val="00B11300"/>
    <w:rsid w:val="00B22DCD"/>
    <w:rsid w:val="00B30E84"/>
    <w:rsid w:val="00B32862"/>
    <w:rsid w:val="00B60989"/>
    <w:rsid w:val="00B9183E"/>
    <w:rsid w:val="00B93659"/>
    <w:rsid w:val="00B93B08"/>
    <w:rsid w:val="00BE208D"/>
    <w:rsid w:val="00BE3314"/>
    <w:rsid w:val="00BE4D19"/>
    <w:rsid w:val="00BF6077"/>
    <w:rsid w:val="00C0407D"/>
    <w:rsid w:val="00C13DBC"/>
    <w:rsid w:val="00C34BD2"/>
    <w:rsid w:val="00C60E16"/>
    <w:rsid w:val="00C62826"/>
    <w:rsid w:val="00C81B02"/>
    <w:rsid w:val="00C82E3B"/>
    <w:rsid w:val="00C924A7"/>
    <w:rsid w:val="00C95585"/>
    <w:rsid w:val="00CA1AB4"/>
    <w:rsid w:val="00CB24B3"/>
    <w:rsid w:val="00CC281A"/>
    <w:rsid w:val="00CE6182"/>
    <w:rsid w:val="00D37771"/>
    <w:rsid w:val="00D52D14"/>
    <w:rsid w:val="00D54496"/>
    <w:rsid w:val="00D65F2B"/>
    <w:rsid w:val="00D678C5"/>
    <w:rsid w:val="00D75216"/>
    <w:rsid w:val="00D91741"/>
    <w:rsid w:val="00D977F2"/>
    <w:rsid w:val="00DA34FF"/>
    <w:rsid w:val="00DA505E"/>
    <w:rsid w:val="00DD33D5"/>
    <w:rsid w:val="00DE156A"/>
    <w:rsid w:val="00DF06D8"/>
    <w:rsid w:val="00E10778"/>
    <w:rsid w:val="00E216F2"/>
    <w:rsid w:val="00E363D5"/>
    <w:rsid w:val="00E45687"/>
    <w:rsid w:val="00E54668"/>
    <w:rsid w:val="00E747B6"/>
    <w:rsid w:val="00E93A05"/>
    <w:rsid w:val="00E97FB6"/>
    <w:rsid w:val="00EA07E9"/>
    <w:rsid w:val="00EA1E27"/>
    <w:rsid w:val="00EA4304"/>
    <w:rsid w:val="00EA7012"/>
    <w:rsid w:val="00EB769A"/>
    <w:rsid w:val="00EC507B"/>
    <w:rsid w:val="00EC6F1E"/>
    <w:rsid w:val="00EE063D"/>
    <w:rsid w:val="00EE6512"/>
    <w:rsid w:val="00F1441F"/>
    <w:rsid w:val="00F37594"/>
    <w:rsid w:val="00F55CD6"/>
    <w:rsid w:val="00F61FAA"/>
    <w:rsid w:val="00F70589"/>
    <w:rsid w:val="00F8060B"/>
    <w:rsid w:val="00F8244D"/>
    <w:rsid w:val="00F90C56"/>
    <w:rsid w:val="00F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A6592F"/>
    <w:pPr>
      <w:spacing w:after="0"/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92F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23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A6592F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6592F"/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6592F"/>
    <w:rPr>
      <w:rFonts w:ascii="Arial" w:eastAsiaTheme="majorEastAsia" w:hAnsi="Arial" w:cs="Arial"/>
      <w:color w:val="0070C3"/>
      <w:sz w:val="12"/>
      <w:szCs w:val="24"/>
    </w:rPr>
  </w:style>
  <w:style w:type="paragraph" w:styleId="NoSpacing">
    <w:name w:val="No Spacing"/>
    <w:uiPriority w:val="1"/>
    <w:qFormat/>
    <w:rsid w:val="00A6592F"/>
    <w:rPr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A6592F"/>
    <w:pPr>
      <w:spacing w:after="0"/>
    </w:pPr>
  </w:style>
  <w:style w:type="paragraph" w:customStyle="1" w:styleId="Default">
    <w:name w:val="Default"/>
    <w:rsid w:val="00A65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9678B7"/>
    <w:pPr>
      <w:spacing w:before="200" w:after="240"/>
    </w:pPr>
    <w:rPr>
      <w:rFonts w:ascii="Arial" w:hAnsi="Arial" w:cs="Arial"/>
      <w:noProof/>
      <w:color w:val="00BCE4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"/>
    <w:rsid w:val="009678B7"/>
    <w:rPr>
      <w:rFonts w:ascii="Arial" w:hAnsi="Arial" w:cs="Arial"/>
      <w:noProof/>
      <w:color w:val="00BCE4"/>
      <w:sz w:val="32"/>
      <w:szCs w:val="52"/>
      <w:lang w:val="en-GB" w:eastAsia="en-GB"/>
    </w:rPr>
  </w:style>
  <w:style w:type="paragraph" w:customStyle="1" w:styleId="AHPRAfooter">
    <w:name w:val="AHPRA footer"/>
    <w:basedOn w:val="FootnoteText"/>
    <w:rsid w:val="009678B7"/>
    <w:rPr>
      <w:rFonts w:ascii="Arial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9678B7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8B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8B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armacy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4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4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 b="1" i="0" u="none" strike="noStrike" baseline="0">
                <a:effectLst/>
              </a:rPr>
              <a:t>Pharmacists</a:t>
            </a:r>
            <a:r>
              <a:rPr lang="en-AU" sz="1100" b="1" i="0" u="none" strike="noStrike" baseline="0">
                <a:effectLst/>
              </a:rPr>
              <a:t> </a:t>
            </a:r>
            <a:r>
              <a:rPr lang="en-AU" sz="1000" b="1" i="0" baseline="0">
                <a:effectLst/>
              </a:rPr>
              <a:t>– percentage by principal place of practice</a:t>
            </a:r>
            <a:endParaRPr lang="en-AU" sz="1000">
              <a:effectLst/>
            </a:endParaRPr>
          </a:p>
        </c:rich>
      </c:tx>
      <c:layout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2142199201901311"/>
          <c:y val="0.20624556892523538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PHARM'!$N$17</c:f>
              <c:strCache>
                <c:ptCount val="1"/>
                <c:pt idx="0">
                  <c:v>Pharmacy Practitioner by PPP</c:v>
                </c:pt>
              </c:strCache>
            </c:strRef>
          </c:tx>
          <c:dLbls>
            <c:dLbl>
              <c:idx val="0"/>
              <c:layout>
                <c:manualLayout>
                  <c:x val="4.7439931032337498E-2"/>
                  <c:y val="-7.1593843355160225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621791766837165E-2"/>
                  <c:y val="-7.791612961629819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596985034787449E-2"/>
                  <c:y val="-3.3786215874849666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989097895271664E-2"/>
                  <c:y val="-2.5320667566181135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PHARM'!$C$5:$K$5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PHARM'!$C$14:$K$14</c:f>
              <c:numCache>
                <c:formatCode>_(* #,##0_);_(* \(#,##0\);_(* "-"??_);_(@_)</c:formatCode>
                <c:ptCount val="9"/>
                <c:pt idx="0">
                  <c:v>469</c:v>
                </c:pt>
                <c:pt idx="1">
                  <c:v>8769</c:v>
                </c:pt>
                <c:pt idx="2">
                  <c:v>212</c:v>
                </c:pt>
                <c:pt idx="3">
                  <c:v>5536</c:v>
                </c:pt>
                <c:pt idx="4">
                  <c:v>2033</c:v>
                </c:pt>
                <c:pt idx="5">
                  <c:v>679</c:v>
                </c:pt>
                <c:pt idx="6">
                  <c:v>6985</c:v>
                </c:pt>
                <c:pt idx="7">
                  <c:v>3046</c:v>
                </c:pt>
                <c:pt idx="8">
                  <c:v>553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Pharmacists – by age group</a:t>
            </a:r>
            <a:endParaRPr lang="en-US"/>
          </a:p>
        </c:rich>
      </c:tx>
      <c:layout/>
    </c:title>
    <c:plotArea>
      <c:layout/>
      <c:areaChart>
        <c:grouping val="standard"/>
        <c:ser>
          <c:idx val="0"/>
          <c:order val="0"/>
          <c:tx>
            <c:v>Number of Pharmacists</c:v>
          </c:tx>
          <c:spPr>
            <a:ln w="25400">
              <a:noFill/>
            </a:ln>
          </c:spPr>
          <c:cat>
            <c:strRef>
              <c:f>'Table 39 - PHARM'!$N$46:$N$58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PHARM'!$J$46:$J$58</c:f>
              <c:numCache>
                <c:formatCode>_-* #,##0_-;\-* #,##0_-;_-* "-"??_-;_-@_-</c:formatCode>
                <c:ptCount val="13"/>
                <c:pt idx="0">
                  <c:v>1913</c:v>
                </c:pt>
                <c:pt idx="1">
                  <c:v>6252</c:v>
                </c:pt>
                <c:pt idx="2">
                  <c:v>5335</c:v>
                </c:pt>
                <c:pt idx="3">
                  <c:v>3517</c:v>
                </c:pt>
                <c:pt idx="4">
                  <c:v>2505</c:v>
                </c:pt>
                <c:pt idx="5">
                  <c:v>2037</c:v>
                </c:pt>
                <c:pt idx="6">
                  <c:v>1898</c:v>
                </c:pt>
                <c:pt idx="7">
                  <c:v>1768</c:v>
                </c:pt>
                <c:pt idx="8">
                  <c:v>1196</c:v>
                </c:pt>
                <c:pt idx="9">
                  <c:v>898</c:v>
                </c:pt>
                <c:pt idx="10">
                  <c:v>528</c:v>
                </c:pt>
                <c:pt idx="11">
                  <c:v>324</c:v>
                </c:pt>
                <c:pt idx="12">
                  <c:v>111</c:v>
                </c:pt>
              </c:numCache>
            </c:numRef>
          </c:val>
        </c:ser>
        <c:dLbls/>
        <c:axId val="91677056"/>
        <c:axId val="91678592"/>
      </c:areaChart>
      <c:catAx>
        <c:axId val="9167705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678592"/>
        <c:crosses val="autoZero"/>
        <c:auto val="1"/>
        <c:lblAlgn val="ctr"/>
        <c:lblOffset val="100"/>
      </c:catAx>
      <c:valAx>
        <c:axId val="916785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1677056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B146-B14D-4627-B608-A4669E9A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5229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Registrant Data: June 2014</dc:title>
  <dc:subject>Statistics</dc:subject>
  <dc:creator>Pharmacy Board</dc:creator>
  <cp:keywords>June 2014</cp:keywords>
  <cp:lastModifiedBy>Tara Johnson</cp:lastModifiedBy>
  <cp:revision>2</cp:revision>
  <cp:lastPrinted>2014-07-30T06:03:00Z</cp:lastPrinted>
  <dcterms:created xsi:type="dcterms:W3CDTF">2014-08-05T06:44:00Z</dcterms:created>
  <dcterms:modified xsi:type="dcterms:W3CDTF">2014-08-05T06:44:00Z</dcterms:modified>
</cp:coreProperties>
</file>