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391" w:rsidRPr="001A0611" w:rsidRDefault="00E10391" w:rsidP="00E10391">
      <w:pPr>
        <w:spacing w:line="276" w:lineRule="auto"/>
        <w:rPr>
          <w:rFonts w:ascii="Arial" w:hAnsi="Arial" w:cs="Arial"/>
          <w:b/>
        </w:rPr>
      </w:pPr>
      <w:bookmarkStart w:id="0" w:name="_GoBack"/>
      <w:bookmarkEnd w:id="0"/>
    </w:p>
    <w:p w:rsidR="00E10391" w:rsidRDefault="00E10391" w:rsidP="00E10391">
      <w:pPr>
        <w:spacing w:line="276" w:lineRule="auto"/>
        <w:rPr>
          <w:rFonts w:ascii="Arial" w:hAnsi="Arial" w:cs="Arial"/>
          <w:b/>
        </w:rPr>
      </w:pPr>
    </w:p>
    <w:p w:rsidR="00E10391" w:rsidRDefault="00E10391" w:rsidP="00E10391">
      <w:pPr>
        <w:spacing w:line="276" w:lineRule="auto"/>
        <w:jc w:val="center"/>
        <w:rPr>
          <w:rFonts w:ascii="Arial" w:hAnsi="Arial" w:cs="Arial"/>
          <w:b/>
        </w:rPr>
      </w:pPr>
      <w:r w:rsidRPr="00E65130">
        <w:rPr>
          <w:rFonts w:ascii="Arial" w:hAnsi="Arial" w:cs="Arial"/>
          <w:b/>
        </w:rPr>
        <w:t xml:space="preserve">PROFESSIONAL PRACTICE PROFILE FOR </w:t>
      </w:r>
      <w:r>
        <w:rPr>
          <w:rFonts w:ascii="Arial" w:hAnsi="Arial" w:cs="Arial"/>
          <w:b/>
        </w:rPr>
        <w:t xml:space="preserve">PHARMACISTS UNDERTAKING </w:t>
      </w:r>
      <w:r w:rsidRPr="00E65130">
        <w:rPr>
          <w:rFonts w:ascii="Arial" w:hAnsi="Arial" w:cs="Arial"/>
          <w:b/>
        </w:rPr>
        <w:t>COMPLEX COMPOUNDING</w:t>
      </w:r>
    </w:p>
    <w:p w:rsidR="00E10391" w:rsidRDefault="00E10391" w:rsidP="00E10391">
      <w:pPr>
        <w:spacing w:line="276" w:lineRule="auto"/>
        <w:rPr>
          <w:rFonts w:ascii="Arial" w:hAnsi="Arial" w:cs="Arial"/>
          <w:b/>
        </w:rPr>
      </w:pPr>
    </w:p>
    <w:p w:rsidR="00E10391" w:rsidRDefault="00E10391" w:rsidP="00E10391">
      <w:pPr>
        <w:spacing w:line="276" w:lineRule="auto"/>
        <w:rPr>
          <w:rFonts w:ascii="Arial" w:hAnsi="Arial" w:cs="Arial"/>
          <w:b/>
        </w:rPr>
      </w:pPr>
    </w:p>
    <w:p w:rsidR="00E10391" w:rsidRDefault="00E10391" w:rsidP="00E10391">
      <w:pPr>
        <w:spacing w:line="276" w:lineRule="auto"/>
        <w:rPr>
          <w:rFonts w:ascii="Arial" w:hAnsi="Arial" w:cs="Arial"/>
          <w:b/>
        </w:rPr>
      </w:pPr>
    </w:p>
    <w:p w:rsidR="00E10391" w:rsidRDefault="00E10391" w:rsidP="00E10391">
      <w:pPr>
        <w:spacing w:line="276" w:lineRule="auto"/>
        <w:rPr>
          <w:rFonts w:ascii="Arial" w:hAnsi="Arial" w:cs="Arial"/>
          <w:b/>
        </w:rPr>
      </w:pPr>
    </w:p>
    <w:p w:rsidR="00E10391" w:rsidRDefault="00E10391" w:rsidP="00E10391">
      <w:pPr>
        <w:spacing w:line="276" w:lineRule="auto"/>
        <w:rPr>
          <w:rFonts w:ascii="Arial" w:hAnsi="Arial" w:cs="Arial"/>
          <w:b/>
        </w:rPr>
      </w:pPr>
    </w:p>
    <w:p w:rsidR="00E10391" w:rsidRDefault="00E10391" w:rsidP="00E10391">
      <w:pPr>
        <w:spacing w:line="276" w:lineRule="auto"/>
        <w:rPr>
          <w:rFonts w:ascii="Arial" w:hAnsi="Arial" w:cs="Arial"/>
          <w:b/>
        </w:rPr>
      </w:pPr>
    </w:p>
    <w:p w:rsidR="00E10391" w:rsidRDefault="00E10391" w:rsidP="00E10391">
      <w:pPr>
        <w:spacing w:line="276" w:lineRule="auto"/>
        <w:rPr>
          <w:rFonts w:ascii="Arial" w:hAnsi="Arial" w:cs="Arial"/>
          <w:b/>
        </w:rPr>
      </w:pPr>
    </w:p>
    <w:p w:rsidR="00E10391" w:rsidRDefault="00E10391" w:rsidP="00E10391">
      <w:pPr>
        <w:spacing w:line="276" w:lineRule="auto"/>
        <w:rPr>
          <w:rFonts w:ascii="Arial" w:hAnsi="Arial" w:cs="Arial"/>
          <w:b/>
        </w:rPr>
      </w:pPr>
    </w:p>
    <w:p w:rsidR="00E10391" w:rsidRDefault="00E10391" w:rsidP="00E10391">
      <w:pPr>
        <w:spacing w:line="276" w:lineRule="auto"/>
        <w:rPr>
          <w:rFonts w:ascii="Arial" w:hAnsi="Arial" w:cs="Arial"/>
          <w:b/>
        </w:rPr>
      </w:pPr>
    </w:p>
    <w:p w:rsidR="00E10391" w:rsidRDefault="00E10391" w:rsidP="00E10391">
      <w:pPr>
        <w:spacing w:line="276" w:lineRule="auto"/>
        <w:rPr>
          <w:rFonts w:ascii="Arial" w:hAnsi="Arial" w:cs="Arial"/>
          <w:b/>
        </w:rPr>
      </w:pPr>
    </w:p>
    <w:p w:rsidR="00E10391" w:rsidRDefault="00E10391" w:rsidP="00E10391">
      <w:pPr>
        <w:spacing w:line="276" w:lineRule="auto"/>
        <w:rPr>
          <w:rFonts w:ascii="Arial" w:hAnsi="Arial" w:cs="Arial"/>
          <w:b/>
        </w:rPr>
      </w:pPr>
    </w:p>
    <w:p w:rsidR="00E10391" w:rsidRDefault="00E10391" w:rsidP="00E10391">
      <w:pPr>
        <w:spacing w:line="276" w:lineRule="auto"/>
        <w:rPr>
          <w:rFonts w:ascii="Arial" w:hAnsi="Arial" w:cs="Arial"/>
          <w:b/>
        </w:rPr>
      </w:pPr>
    </w:p>
    <w:p w:rsidR="00E10391" w:rsidRDefault="00E10391" w:rsidP="00E10391">
      <w:pPr>
        <w:spacing w:line="276" w:lineRule="auto"/>
        <w:rPr>
          <w:rFonts w:ascii="Arial" w:hAnsi="Arial" w:cs="Arial"/>
          <w:b/>
        </w:rPr>
      </w:pPr>
    </w:p>
    <w:p w:rsidR="00E10391" w:rsidRDefault="00E10391" w:rsidP="00E10391">
      <w:pPr>
        <w:spacing w:line="276" w:lineRule="auto"/>
        <w:rPr>
          <w:rFonts w:ascii="Arial" w:hAnsi="Arial" w:cs="Arial"/>
          <w:b/>
        </w:rPr>
      </w:pPr>
    </w:p>
    <w:p w:rsidR="00E10391" w:rsidRDefault="00E10391" w:rsidP="00E10391">
      <w:pPr>
        <w:spacing w:line="276" w:lineRule="auto"/>
        <w:jc w:val="center"/>
        <w:rPr>
          <w:rFonts w:ascii="Arial" w:hAnsi="Arial" w:cs="Arial"/>
          <w:b/>
          <w:sz w:val="22"/>
          <w:szCs w:val="22"/>
        </w:rPr>
      </w:pPr>
      <w:r w:rsidRPr="00A62D47">
        <w:rPr>
          <w:rFonts w:ascii="Arial" w:hAnsi="Arial" w:cs="Arial"/>
          <w:b/>
          <w:sz w:val="22"/>
          <w:szCs w:val="22"/>
        </w:rPr>
        <w:t xml:space="preserve">Prepared </w:t>
      </w:r>
      <w:r>
        <w:rPr>
          <w:rFonts w:ascii="Arial" w:hAnsi="Arial" w:cs="Arial"/>
          <w:b/>
          <w:sz w:val="22"/>
          <w:szCs w:val="22"/>
        </w:rPr>
        <w:t>by</w:t>
      </w:r>
      <w:r w:rsidRPr="00A62D47">
        <w:rPr>
          <w:rFonts w:ascii="Arial" w:hAnsi="Arial" w:cs="Arial"/>
          <w:b/>
          <w:sz w:val="22"/>
          <w:szCs w:val="22"/>
        </w:rPr>
        <w:t xml:space="preserve"> the Pharmacy Board of Australia</w:t>
      </w:r>
      <w:r>
        <w:rPr>
          <w:rFonts w:ascii="Arial" w:hAnsi="Arial" w:cs="Arial"/>
          <w:b/>
          <w:sz w:val="22"/>
          <w:szCs w:val="22"/>
        </w:rPr>
        <w:t xml:space="preserve"> on behalf of the pharmacy profession</w:t>
      </w:r>
    </w:p>
    <w:p w:rsidR="00E10391" w:rsidRDefault="000E61CF" w:rsidP="000E61CF">
      <w:pPr>
        <w:spacing w:line="276" w:lineRule="auto"/>
        <w:jc w:val="center"/>
        <w:rPr>
          <w:rFonts w:ascii="Arial" w:hAnsi="Arial" w:cs="Arial"/>
          <w:b/>
        </w:rPr>
      </w:pPr>
      <w:r>
        <w:rPr>
          <w:rFonts w:ascii="Arial" w:hAnsi="Arial" w:cs="Arial"/>
          <w:b/>
          <w:sz w:val="22"/>
          <w:szCs w:val="22"/>
        </w:rPr>
        <w:t xml:space="preserve">Published </w:t>
      </w:r>
      <w:r w:rsidR="00A10A96">
        <w:rPr>
          <w:rFonts w:ascii="Arial" w:hAnsi="Arial" w:cs="Arial"/>
          <w:b/>
          <w:sz w:val="22"/>
          <w:szCs w:val="22"/>
        </w:rPr>
        <w:t>March 2015</w:t>
      </w:r>
    </w:p>
    <w:p w:rsidR="00E10391" w:rsidRDefault="00E10391" w:rsidP="00E10391">
      <w:pPr>
        <w:spacing w:line="276" w:lineRule="auto"/>
        <w:rPr>
          <w:rFonts w:ascii="Arial" w:hAnsi="Arial" w:cs="Arial"/>
          <w:b/>
        </w:rPr>
      </w:pPr>
      <w:r>
        <w:rPr>
          <w:rFonts w:ascii="Arial" w:hAnsi="Arial" w:cs="Arial"/>
          <w:b/>
        </w:rPr>
        <w:br w:type="page"/>
      </w:r>
    </w:p>
    <w:p w:rsidR="00E10391" w:rsidRDefault="00E10391" w:rsidP="00E10391">
      <w:pPr>
        <w:spacing w:line="276" w:lineRule="auto"/>
        <w:rPr>
          <w:rFonts w:ascii="Arial" w:hAnsi="Arial" w:cs="Arial"/>
          <w:b/>
        </w:rPr>
      </w:pPr>
    </w:p>
    <w:sdt>
      <w:sdtPr>
        <w:rPr>
          <w:rFonts w:ascii="Cambria" w:eastAsia="Times New Roman" w:hAnsi="Cambria" w:cs="Times New Roman"/>
          <w:b/>
          <w:bCs/>
          <w:color w:val="auto"/>
          <w:sz w:val="20"/>
          <w:szCs w:val="20"/>
          <w:lang w:val="en-US"/>
        </w:rPr>
        <w:id w:val="21850515"/>
        <w:docPartObj>
          <w:docPartGallery w:val="Table of Contents"/>
          <w:docPartUnique/>
        </w:docPartObj>
      </w:sdtPr>
      <w:sdtEndPr>
        <w:rPr>
          <w:rFonts w:eastAsia="Cambria"/>
          <w:b w:val="0"/>
          <w:bCs w:val="0"/>
          <w:sz w:val="22"/>
          <w:szCs w:val="22"/>
        </w:rPr>
      </w:sdtEndPr>
      <w:sdtContent>
        <w:p w:rsidR="00E10391" w:rsidRPr="00BE5372" w:rsidRDefault="00E10391" w:rsidP="00E10391">
          <w:pPr>
            <w:pStyle w:val="TOCHeading"/>
            <w:rPr>
              <w:noProof/>
            </w:rPr>
          </w:pPr>
          <w:r w:rsidRPr="00F3525C">
            <w:rPr>
              <w:sz w:val="24"/>
              <w:szCs w:val="24"/>
            </w:rPr>
            <w:t>Contents</w:t>
          </w:r>
          <w:r w:rsidR="00C32423" w:rsidRPr="00466D4E">
            <w:rPr>
              <w:rFonts w:eastAsiaTheme="majorEastAsia"/>
              <w:b/>
              <w:bCs/>
              <w:caps/>
              <w:color w:val="365F91" w:themeColor="accent1" w:themeShade="BF"/>
              <w:sz w:val="22"/>
              <w:szCs w:val="22"/>
              <w:lang w:val="en-US"/>
            </w:rPr>
            <w:fldChar w:fldCharType="begin"/>
          </w:r>
          <w:r w:rsidRPr="00466D4E">
            <w:rPr>
              <w:sz w:val="22"/>
              <w:szCs w:val="22"/>
            </w:rPr>
            <w:instrText xml:space="preserve"> TOC \o "1-3" \h \z \u </w:instrText>
          </w:r>
          <w:r w:rsidR="00C32423" w:rsidRPr="00466D4E">
            <w:rPr>
              <w:rFonts w:eastAsiaTheme="majorEastAsia"/>
              <w:b/>
              <w:bCs/>
              <w:caps/>
              <w:color w:val="365F91" w:themeColor="accent1" w:themeShade="BF"/>
              <w:sz w:val="22"/>
              <w:szCs w:val="22"/>
              <w:lang w:val="en-US"/>
            </w:rPr>
            <w:fldChar w:fldCharType="separate"/>
          </w:r>
        </w:p>
        <w:p w:rsidR="00E10391" w:rsidRPr="00BE5372" w:rsidRDefault="00817593" w:rsidP="00E10391">
          <w:pPr>
            <w:pStyle w:val="TOC1"/>
            <w:rPr>
              <w:rFonts w:eastAsiaTheme="minorEastAsia" w:cs="Arial"/>
              <w:b w:val="0"/>
              <w:color w:val="auto"/>
              <w:sz w:val="22"/>
              <w:szCs w:val="22"/>
              <w:lang w:val="en-AU" w:eastAsia="en-AU"/>
            </w:rPr>
          </w:pPr>
          <w:hyperlink w:anchor="_Toc377638223" w:history="1">
            <w:r w:rsidR="00E10391" w:rsidRPr="00BE5372">
              <w:rPr>
                <w:rStyle w:val="Hyperlink"/>
                <w:rFonts w:cs="Arial"/>
              </w:rPr>
              <w:t>Introduction</w:t>
            </w:r>
            <w:r w:rsidR="00E10391" w:rsidRPr="00BE5372">
              <w:rPr>
                <w:rFonts w:cs="Arial"/>
                <w:webHidden/>
              </w:rPr>
              <w:tab/>
            </w:r>
            <w:r w:rsidR="00C32423" w:rsidRPr="00BE5372">
              <w:rPr>
                <w:rFonts w:cs="Arial"/>
                <w:webHidden/>
              </w:rPr>
              <w:fldChar w:fldCharType="begin"/>
            </w:r>
            <w:r w:rsidR="00E10391" w:rsidRPr="00BE5372">
              <w:rPr>
                <w:rFonts w:cs="Arial"/>
                <w:webHidden/>
              </w:rPr>
              <w:instrText xml:space="preserve"> PAGEREF _Toc377638223 \h </w:instrText>
            </w:r>
            <w:r w:rsidR="00C32423" w:rsidRPr="00BE5372">
              <w:rPr>
                <w:rFonts w:cs="Arial"/>
                <w:webHidden/>
              </w:rPr>
            </w:r>
            <w:r w:rsidR="00C32423" w:rsidRPr="00BE5372">
              <w:rPr>
                <w:rFonts w:cs="Arial"/>
                <w:webHidden/>
              </w:rPr>
              <w:fldChar w:fldCharType="separate"/>
            </w:r>
            <w:r w:rsidR="00474BA4" w:rsidRPr="00BE5372">
              <w:rPr>
                <w:rFonts w:cs="Arial"/>
                <w:webHidden/>
              </w:rPr>
              <w:t>4</w:t>
            </w:r>
            <w:r w:rsidR="00C32423" w:rsidRPr="00BE5372">
              <w:rPr>
                <w:rFonts w:cs="Arial"/>
                <w:webHidden/>
              </w:rPr>
              <w:fldChar w:fldCharType="end"/>
            </w:r>
          </w:hyperlink>
        </w:p>
        <w:p w:rsidR="00E10391" w:rsidRPr="00BE5372" w:rsidRDefault="00817593" w:rsidP="00E10391">
          <w:pPr>
            <w:pStyle w:val="TOC1"/>
            <w:rPr>
              <w:rFonts w:eastAsiaTheme="minorEastAsia" w:cs="Arial"/>
              <w:b w:val="0"/>
              <w:color w:val="auto"/>
              <w:sz w:val="22"/>
              <w:szCs w:val="22"/>
              <w:lang w:val="en-AU" w:eastAsia="en-AU"/>
            </w:rPr>
          </w:pPr>
          <w:hyperlink w:anchor="_Toc377638224" w:history="1">
            <w:r w:rsidR="00E10391" w:rsidRPr="00BE5372">
              <w:rPr>
                <w:rStyle w:val="Hyperlink"/>
                <w:rFonts w:cs="Arial"/>
              </w:rPr>
              <w:t xml:space="preserve">Complex </w:t>
            </w:r>
            <w:r w:rsidR="00AE4D4C" w:rsidRPr="00BE5372">
              <w:rPr>
                <w:rStyle w:val="Hyperlink"/>
                <w:rFonts w:cs="Arial"/>
              </w:rPr>
              <w:t>c</w:t>
            </w:r>
            <w:r w:rsidR="00E10391" w:rsidRPr="00BE5372">
              <w:rPr>
                <w:rStyle w:val="Hyperlink"/>
                <w:rFonts w:cs="Arial"/>
              </w:rPr>
              <w:t>ompounding</w:t>
            </w:r>
            <w:r w:rsidR="00E10391" w:rsidRPr="00BE5372">
              <w:rPr>
                <w:rFonts w:cs="Arial"/>
                <w:webHidden/>
              </w:rPr>
              <w:tab/>
            </w:r>
            <w:r w:rsidR="00C32423" w:rsidRPr="00BE5372">
              <w:rPr>
                <w:rFonts w:cs="Arial"/>
                <w:webHidden/>
              </w:rPr>
              <w:fldChar w:fldCharType="begin"/>
            </w:r>
            <w:r w:rsidR="00E10391" w:rsidRPr="00BE5372">
              <w:rPr>
                <w:rFonts w:cs="Arial"/>
                <w:webHidden/>
              </w:rPr>
              <w:instrText xml:space="preserve"> PAGEREF _Toc377638224 \h </w:instrText>
            </w:r>
            <w:r w:rsidR="00C32423" w:rsidRPr="00BE5372">
              <w:rPr>
                <w:rFonts w:cs="Arial"/>
                <w:webHidden/>
              </w:rPr>
            </w:r>
            <w:r w:rsidR="00C32423" w:rsidRPr="00BE5372">
              <w:rPr>
                <w:rFonts w:cs="Arial"/>
                <w:webHidden/>
              </w:rPr>
              <w:fldChar w:fldCharType="separate"/>
            </w:r>
            <w:r w:rsidR="00474BA4" w:rsidRPr="00BE5372">
              <w:rPr>
                <w:rFonts w:cs="Arial"/>
                <w:webHidden/>
              </w:rPr>
              <w:t>4</w:t>
            </w:r>
            <w:r w:rsidR="00C32423" w:rsidRPr="00BE5372">
              <w:rPr>
                <w:rFonts w:cs="Arial"/>
                <w:webHidden/>
              </w:rPr>
              <w:fldChar w:fldCharType="end"/>
            </w:r>
          </w:hyperlink>
        </w:p>
        <w:p w:rsidR="00E10391" w:rsidRPr="00BE5372" w:rsidRDefault="00817593" w:rsidP="00E10391">
          <w:pPr>
            <w:pStyle w:val="TOC1"/>
            <w:rPr>
              <w:rFonts w:eastAsiaTheme="minorEastAsia" w:cs="Arial"/>
              <w:b w:val="0"/>
              <w:color w:val="auto"/>
              <w:sz w:val="22"/>
              <w:szCs w:val="22"/>
              <w:lang w:val="en-AU" w:eastAsia="en-AU"/>
            </w:rPr>
          </w:pPr>
          <w:hyperlink w:anchor="_Toc377638225" w:history="1">
            <w:r w:rsidR="00E10391" w:rsidRPr="00BE5372">
              <w:rPr>
                <w:rStyle w:val="Hyperlink"/>
                <w:rFonts w:cs="Arial"/>
              </w:rPr>
              <w:t xml:space="preserve">Prerequisite </w:t>
            </w:r>
            <w:r w:rsidR="00AE4D4C" w:rsidRPr="00BE5372">
              <w:rPr>
                <w:rStyle w:val="Hyperlink"/>
                <w:rFonts w:cs="Arial"/>
              </w:rPr>
              <w:t>c</w:t>
            </w:r>
            <w:r w:rsidR="00E10391" w:rsidRPr="00BE5372">
              <w:rPr>
                <w:rStyle w:val="Hyperlink"/>
                <w:rFonts w:cs="Arial"/>
              </w:rPr>
              <w:t xml:space="preserve">ompetency </w:t>
            </w:r>
            <w:r w:rsidR="00AE4D4C" w:rsidRPr="00BE5372">
              <w:rPr>
                <w:rStyle w:val="Hyperlink"/>
                <w:rFonts w:cs="Arial"/>
              </w:rPr>
              <w:t>s</w:t>
            </w:r>
            <w:r w:rsidR="00E10391" w:rsidRPr="00BE5372">
              <w:rPr>
                <w:rStyle w:val="Hyperlink"/>
                <w:rFonts w:cs="Arial"/>
              </w:rPr>
              <w:t>tandards</w:t>
            </w:r>
            <w:r w:rsidR="00E10391" w:rsidRPr="00BE5372">
              <w:rPr>
                <w:rFonts w:cs="Arial"/>
                <w:webHidden/>
              </w:rPr>
              <w:tab/>
            </w:r>
            <w:r w:rsidR="00C32423" w:rsidRPr="00BE5372">
              <w:rPr>
                <w:rFonts w:cs="Arial"/>
                <w:webHidden/>
              </w:rPr>
              <w:fldChar w:fldCharType="begin"/>
            </w:r>
            <w:r w:rsidR="00E10391" w:rsidRPr="00BE5372">
              <w:rPr>
                <w:rFonts w:cs="Arial"/>
                <w:webHidden/>
              </w:rPr>
              <w:instrText xml:space="preserve"> PAGEREF _Toc377638225 \h </w:instrText>
            </w:r>
            <w:r w:rsidR="00C32423" w:rsidRPr="00BE5372">
              <w:rPr>
                <w:rFonts w:cs="Arial"/>
                <w:webHidden/>
              </w:rPr>
            </w:r>
            <w:r w:rsidR="00C32423" w:rsidRPr="00BE5372">
              <w:rPr>
                <w:rFonts w:cs="Arial"/>
                <w:webHidden/>
              </w:rPr>
              <w:fldChar w:fldCharType="separate"/>
            </w:r>
            <w:r w:rsidR="00474BA4" w:rsidRPr="00BE5372">
              <w:rPr>
                <w:rFonts w:cs="Arial"/>
                <w:webHidden/>
              </w:rPr>
              <w:t>5</w:t>
            </w:r>
            <w:r w:rsidR="00C32423" w:rsidRPr="00BE5372">
              <w:rPr>
                <w:rFonts w:cs="Arial"/>
                <w:webHidden/>
              </w:rPr>
              <w:fldChar w:fldCharType="end"/>
            </w:r>
          </w:hyperlink>
        </w:p>
        <w:p w:rsidR="00E10391" w:rsidRPr="00BE5372" w:rsidRDefault="00817593" w:rsidP="00E10391">
          <w:pPr>
            <w:pStyle w:val="TOC1"/>
            <w:rPr>
              <w:rFonts w:eastAsiaTheme="minorEastAsia" w:cs="Arial"/>
              <w:b w:val="0"/>
              <w:color w:val="auto"/>
              <w:sz w:val="22"/>
              <w:szCs w:val="22"/>
              <w:lang w:val="en-AU" w:eastAsia="en-AU"/>
            </w:rPr>
          </w:pPr>
          <w:hyperlink w:anchor="_Toc377638226" w:history="1">
            <w:r w:rsidR="00E10391" w:rsidRPr="00BE5372">
              <w:rPr>
                <w:rStyle w:val="Hyperlink"/>
                <w:rFonts w:cs="Arial"/>
              </w:rPr>
              <w:t xml:space="preserve">Complex </w:t>
            </w:r>
            <w:r w:rsidR="00AE4D4C" w:rsidRPr="00BE5372">
              <w:rPr>
                <w:rStyle w:val="Hyperlink"/>
                <w:rFonts w:cs="Arial"/>
              </w:rPr>
              <w:t>c</w:t>
            </w:r>
            <w:r w:rsidR="00E10391" w:rsidRPr="00BE5372">
              <w:rPr>
                <w:rStyle w:val="Hyperlink"/>
                <w:rFonts w:cs="Arial"/>
              </w:rPr>
              <w:t xml:space="preserve">ompounding </w:t>
            </w:r>
            <w:r w:rsidR="00AE4D4C" w:rsidRPr="00BE5372">
              <w:rPr>
                <w:rStyle w:val="Hyperlink"/>
                <w:rFonts w:cs="Arial"/>
              </w:rPr>
              <w:t>t</w:t>
            </w:r>
            <w:r w:rsidR="00E10391" w:rsidRPr="00BE5372">
              <w:rPr>
                <w:rStyle w:val="Hyperlink"/>
                <w:rFonts w:cs="Arial"/>
              </w:rPr>
              <w:t xml:space="preserve">raining </w:t>
            </w:r>
            <w:r w:rsidR="00AE4D4C" w:rsidRPr="00BE5372">
              <w:rPr>
                <w:rStyle w:val="Hyperlink"/>
                <w:rFonts w:cs="Arial"/>
              </w:rPr>
              <w:t>p</w:t>
            </w:r>
            <w:r w:rsidR="00E10391" w:rsidRPr="00BE5372">
              <w:rPr>
                <w:rStyle w:val="Hyperlink"/>
                <w:rFonts w:cs="Arial"/>
              </w:rPr>
              <w:t>rograms</w:t>
            </w:r>
            <w:r w:rsidR="00E10391" w:rsidRPr="00BE5372">
              <w:rPr>
                <w:rFonts w:cs="Arial"/>
                <w:webHidden/>
              </w:rPr>
              <w:tab/>
            </w:r>
            <w:r w:rsidR="00C32423" w:rsidRPr="00BE5372">
              <w:rPr>
                <w:rFonts w:cs="Arial"/>
                <w:webHidden/>
              </w:rPr>
              <w:fldChar w:fldCharType="begin"/>
            </w:r>
            <w:r w:rsidR="00E10391" w:rsidRPr="00BE5372">
              <w:rPr>
                <w:rFonts w:cs="Arial"/>
                <w:webHidden/>
              </w:rPr>
              <w:instrText xml:space="preserve"> PAGEREF _Toc377638226 \h </w:instrText>
            </w:r>
            <w:r w:rsidR="00C32423" w:rsidRPr="00BE5372">
              <w:rPr>
                <w:rFonts w:cs="Arial"/>
                <w:webHidden/>
              </w:rPr>
            </w:r>
            <w:r w:rsidR="00C32423" w:rsidRPr="00BE5372">
              <w:rPr>
                <w:rFonts w:cs="Arial"/>
                <w:webHidden/>
              </w:rPr>
              <w:fldChar w:fldCharType="separate"/>
            </w:r>
            <w:r w:rsidR="00474BA4" w:rsidRPr="00BE5372">
              <w:rPr>
                <w:rFonts w:cs="Arial"/>
                <w:webHidden/>
              </w:rPr>
              <w:t>5</w:t>
            </w:r>
            <w:r w:rsidR="00C32423" w:rsidRPr="00BE5372">
              <w:rPr>
                <w:rFonts w:cs="Arial"/>
                <w:webHidden/>
              </w:rPr>
              <w:fldChar w:fldCharType="end"/>
            </w:r>
          </w:hyperlink>
        </w:p>
        <w:p w:rsidR="00E10391" w:rsidRPr="00BE5372" w:rsidRDefault="00817593" w:rsidP="00E10391">
          <w:pPr>
            <w:pStyle w:val="TOC1"/>
            <w:rPr>
              <w:rFonts w:eastAsiaTheme="minorEastAsia" w:cs="Arial"/>
              <w:b w:val="0"/>
              <w:color w:val="auto"/>
              <w:sz w:val="22"/>
              <w:szCs w:val="22"/>
              <w:lang w:val="en-AU" w:eastAsia="en-AU"/>
            </w:rPr>
          </w:pPr>
          <w:hyperlink w:anchor="_Toc377638227" w:history="1">
            <w:r w:rsidR="00E10391" w:rsidRPr="00BE5372">
              <w:rPr>
                <w:rStyle w:val="Hyperlink"/>
                <w:rFonts w:cs="Arial"/>
              </w:rPr>
              <w:t xml:space="preserve">Competency </w:t>
            </w:r>
            <w:r w:rsidR="00AE4D4C" w:rsidRPr="00BE5372">
              <w:rPr>
                <w:rStyle w:val="Hyperlink"/>
                <w:rFonts w:cs="Arial"/>
              </w:rPr>
              <w:t>s</w:t>
            </w:r>
            <w:r w:rsidR="00E10391" w:rsidRPr="00BE5372">
              <w:rPr>
                <w:rStyle w:val="Hyperlink"/>
                <w:rFonts w:cs="Arial"/>
              </w:rPr>
              <w:t xml:space="preserve">tandards for </w:t>
            </w:r>
            <w:r w:rsidR="00AE4D4C" w:rsidRPr="00BE5372">
              <w:rPr>
                <w:rStyle w:val="Hyperlink"/>
                <w:rFonts w:cs="Arial"/>
              </w:rPr>
              <w:t>c</w:t>
            </w:r>
            <w:r w:rsidR="00E10391" w:rsidRPr="00BE5372">
              <w:rPr>
                <w:rStyle w:val="Hyperlink"/>
                <w:rFonts w:cs="Arial"/>
              </w:rPr>
              <w:t xml:space="preserve">omplex </w:t>
            </w:r>
            <w:r w:rsidR="00AE4D4C" w:rsidRPr="00BE5372">
              <w:rPr>
                <w:rStyle w:val="Hyperlink"/>
                <w:rFonts w:cs="Arial"/>
              </w:rPr>
              <w:t>c</w:t>
            </w:r>
            <w:r w:rsidR="00E10391" w:rsidRPr="00BE5372">
              <w:rPr>
                <w:rStyle w:val="Hyperlink"/>
                <w:rFonts w:cs="Arial"/>
              </w:rPr>
              <w:t>ompounding</w:t>
            </w:r>
            <w:r w:rsidR="00E10391" w:rsidRPr="00BE5372">
              <w:rPr>
                <w:rFonts w:cs="Arial"/>
                <w:webHidden/>
              </w:rPr>
              <w:tab/>
            </w:r>
            <w:r w:rsidR="00C32423" w:rsidRPr="00BE5372">
              <w:rPr>
                <w:rFonts w:cs="Arial"/>
                <w:webHidden/>
              </w:rPr>
              <w:fldChar w:fldCharType="begin"/>
            </w:r>
            <w:r w:rsidR="00E10391" w:rsidRPr="00BE5372">
              <w:rPr>
                <w:rFonts w:cs="Arial"/>
                <w:webHidden/>
              </w:rPr>
              <w:instrText xml:space="preserve"> PAGEREF _Toc377638227 \h </w:instrText>
            </w:r>
            <w:r w:rsidR="00C32423" w:rsidRPr="00BE5372">
              <w:rPr>
                <w:rFonts w:cs="Arial"/>
                <w:webHidden/>
              </w:rPr>
            </w:r>
            <w:r w:rsidR="00C32423" w:rsidRPr="00BE5372">
              <w:rPr>
                <w:rFonts w:cs="Arial"/>
                <w:webHidden/>
              </w:rPr>
              <w:fldChar w:fldCharType="separate"/>
            </w:r>
            <w:r w:rsidR="00474BA4" w:rsidRPr="00BE5372">
              <w:rPr>
                <w:rFonts w:cs="Arial"/>
                <w:webHidden/>
              </w:rPr>
              <w:t>6</w:t>
            </w:r>
            <w:r w:rsidR="00C32423" w:rsidRPr="00BE5372">
              <w:rPr>
                <w:rFonts w:cs="Arial"/>
                <w:webHidden/>
              </w:rPr>
              <w:fldChar w:fldCharType="end"/>
            </w:r>
          </w:hyperlink>
        </w:p>
        <w:p w:rsidR="00E10391" w:rsidRPr="00BE5372" w:rsidRDefault="00817593" w:rsidP="00E10391">
          <w:pPr>
            <w:pStyle w:val="TOC2"/>
            <w:tabs>
              <w:tab w:val="right" w:leader="dot" w:pos="9488"/>
            </w:tabs>
            <w:rPr>
              <w:rFonts w:ascii="Arial" w:eastAsiaTheme="minorEastAsia" w:hAnsi="Arial" w:cs="Arial"/>
              <w:noProof/>
              <w:sz w:val="22"/>
              <w:szCs w:val="22"/>
              <w:lang w:val="en-AU" w:eastAsia="en-AU"/>
            </w:rPr>
          </w:pPr>
          <w:hyperlink w:anchor="_Toc377638228" w:history="1">
            <w:r w:rsidR="00E10391" w:rsidRPr="00BE5372">
              <w:rPr>
                <w:rStyle w:val="Hyperlink"/>
                <w:rFonts w:ascii="Arial" w:hAnsi="Arial" w:cs="Arial"/>
                <w:noProof/>
              </w:rPr>
              <w:t>Domain 1: Professional and ethical practice</w:t>
            </w:r>
            <w:r w:rsidR="00E10391" w:rsidRPr="00BE5372">
              <w:rPr>
                <w:rFonts w:ascii="Arial" w:hAnsi="Arial" w:cs="Arial"/>
                <w:noProof/>
                <w:webHidden/>
              </w:rPr>
              <w:tab/>
            </w:r>
            <w:r w:rsidR="00C32423" w:rsidRPr="00BE5372">
              <w:rPr>
                <w:rFonts w:ascii="Arial" w:hAnsi="Arial" w:cs="Arial"/>
                <w:noProof/>
                <w:webHidden/>
              </w:rPr>
              <w:fldChar w:fldCharType="begin"/>
            </w:r>
            <w:r w:rsidR="00E10391" w:rsidRPr="00BE5372">
              <w:rPr>
                <w:rFonts w:ascii="Arial" w:hAnsi="Arial" w:cs="Arial"/>
                <w:noProof/>
                <w:webHidden/>
              </w:rPr>
              <w:instrText xml:space="preserve"> PAGEREF _Toc377638228 \h </w:instrText>
            </w:r>
            <w:r w:rsidR="00C32423" w:rsidRPr="00BE5372">
              <w:rPr>
                <w:rFonts w:ascii="Arial" w:hAnsi="Arial" w:cs="Arial"/>
                <w:noProof/>
                <w:webHidden/>
              </w:rPr>
            </w:r>
            <w:r w:rsidR="00C32423" w:rsidRPr="00BE5372">
              <w:rPr>
                <w:rFonts w:ascii="Arial" w:hAnsi="Arial" w:cs="Arial"/>
                <w:noProof/>
                <w:webHidden/>
              </w:rPr>
              <w:fldChar w:fldCharType="separate"/>
            </w:r>
            <w:r w:rsidR="00474BA4" w:rsidRPr="00BE5372">
              <w:rPr>
                <w:rFonts w:ascii="Arial" w:hAnsi="Arial" w:cs="Arial"/>
                <w:noProof/>
                <w:webHidden/>
              </w:rPr>
              <w:t>8</w:t>
            </w:r>
            <w:r w:rsidR="00C32423" w:rsidRPr="00BE5372">
              <w:rPr>
                <w:rFonts w:ascii="Arial" w:hAnsi="Arial" w:cs="Arial"/>
                <w:noProof/>
                <w:webHidden/>
              </w:rPr>
              <w:fldChar w:fldCharType="end"/>
            </w:r>
          </w:hyperlink>
        </w:p>
        <w:p w:rsidR="00E10391" w:rsidRPr="00BE5372" w:rsidRDefault="00817593" w:rsidP="00E10391">
          <w:pPr>
            <w:pStyle w:val="TOC3"/>
            <w:tabs>
              <w:tab w:val="right" w:leader="dot" w:pos="9488"/>
            </w:tabs>
            <w:rPr>
              <w:rFonts w:ascii="Arial" w:eastAsiaTheme="minorEastAsia" w:hAnsi="Arial" w:cs="Arial"/>
              <w:noProof/>
              <w:sz w:val="22"/>
              <w:szCs w:val="22"/>
              <w:lang w:val="en-AU" w:eastAsia="en-AU"/>
            </w:rPr>
          </w:pPr>
          <w:hyperlink w:anchor="_Toc377638229" w:history="1">
            <w:r w:rsidR="00E10391" w:rsidRPr="00BE5372">
              <w:rPr>
                <w:rStyle w:val="Hyperlink"/>
                <w:rFonts w:ascii="Arial" w:hAnsi="Arial" w:cs="Arial"/>
                <w:noProof/>
              </w:rPr>
              <w:t>Standard 1.1 Practise legally</w:t>
            </w:r>
            <w:r w:rsidR="00E10391" w:rsidRPr="00BE5372">
              <w:rPr>
                <w:rFonts w:ascii="Arial" w:hAnsi="Arial" w:cs="Arial"/>
                <w:noProof/>
                <w:webHidden/>
              </w:rPr>
              <w:tab/>
            </w:r>
            <w:r w:rsidR="00C32423" w:rsidRPr="00BE5372">
              <w:rPr>
                <w:rFonts w:ascii="Arial" w:hAnsi="Arial" w:cs="Arial"/>
                <w:noProof/>
                <w:webHidden/>
              </w:rPr>
              <w:fldChar w:fldCharType="begin"/>
            </w:r>
            <w:r w:rsidR="00E10391" w:rsidRPr="00BE5372">
              <w:rPr>
                <w:rFonts w:ascii="Arial" w:hAnsi="Arial" w:cs="Arial"/>
                <w:noProof/>
                <w:webHidden/>
              </w:rPr>
              <w:instrText xml:space="preserve"> PAGEREF _Toc377638229 \h </w:instrText>
            </w:r>
            <w:r w:rsidR="00C32423" w:rsidRPr="00BE5372">
              <w:rPr>
                <w:rFonts w:ascii="Arial" w:hAnsi="Arial" w:cs="Arial"/>
                <w:noProof/>
                <w:webHidden/>
              </w:rPr>
            </w:r>
            <w:r w:rsidR="00C32423" w:rsidRPr="00BE5372">
              <w:rPr>
                <w:rFonts w:ascii="Arial" w:hAnsi="Arial" w:cs="Arial"/>
                <w:noProof/>
                <w:webHidden/>
              </w:rPr>
              <w:fldChar w:fldCharType="separate"/>
            </w:r>
            <w:r w:rsidR="00474BA4" w:rsidRPr="00BE5372">
              <w:rPr>
                <w:rFonts w:ascii="Arial" w:hAnsi="Arial" w:cs="Arial"/>
                <w:noProof/>
                <w:webHidden/>
              </w:rPr>
              <w:t>8</w:t>
            </w:r>
            <w:r w:rsidR="00C32423" w:rsidRPr="00BE5372">
              <w:rPr>
                <w:rFonts w:ascii="Arial" w:hAnsi="Arial" w:cs="Arial"/>
                <w:noProof/>
                <w:webHidden/>
              </w:rPr>
              <w:fldChar w:fldCharType="end"/>
            </w:r>
          </w:hyperlink>
        </w:p>
        <w:p w:rsidR="00E10391" w:rsidRPr="00BE5372" w:rsidRDefault="00817593" w:rsidP="00E10391">
          <w:pPr>
            <w:pStyle w:val="TOC3"/>
            <w:tabs>
              <w:tab w:val="right" w:leader="dot" w:pos="9488"/>
            </w:tabs>
            <w:rPr>
              <w:rFonts w:ascii="Arial" w:eastAsiaTheme="minorEastAsia" w:hAnsi="Arial" w:cs="Arial"/>
              <w:noProof/>
              <w:sz w:val="22"/>
              <w:szCs w:val="22"/>
              <w:lang w:val="en-AU" w:eastAsia="en-AU"/>
            </w:rPr>
          </w:pPr>
          <w:hyperlink w:anchor="_Toc377638230" w:history="1">
            <w:r w:rsidR="00E10391" w:rsidRPr="00BE5372">
              <w:rPr>
                <w:rStyle w:val="Hyperlink"/>
                <w:rFonts w:ascii="Arial" w:hAnsi="Arial" w:cs="Arial"/>
                <w:noProof/>
              </w:rPr>
              <w:t>Standard 1.2 Practise to accepted standards</w:t>
            </w:r>
            <w:r w:rsidR="00E10391" w:rsidRPr="00BE5372">
              <w:rPr>
                <w:rFonts w:ascii="Arial" w:hAnsi="Arial" w:cs="Arial"/>
                <w:noProof/>
                <w:webHidden/>
              </w:rPr>
              <w:tab/>
            </w:r>
            <w:r w:rsidR="00C32423" w:rsidRPr="00BE5372">
              <w:rPr>
                <w:rFonts w:ascii="Arial" w:hAnsi="Arial" w:cs="Arial"/>
                <w:noProof/>
                <w:webHidden/>
              </w:rPr>
              <w:fldChar w:fldCharType="begin"/>
            </w:r>
            <w:r w:rsidR="00E10391" w:rsidRPr="00BE5372">
              <w:rPr>
                <w:rFonts w:ascii="Arial" w:hAnsi="Arial" w:cs="Arial"/>
                <w:noProof/>
                <w:webHidden/>
              </w:rPr>
              <w:instrText xml:space="preserve"> PAGEREF _Toc377638230 \h </w:instrText>
            </w:r>
            <w:r w:rsidR="00C32423" w:rsidRPr="00BE5372">
              <w:rPr>
                <w:rFonts w:ascii="Arial" w:hAnsi="Arial" w:cs="Arial"/>
                <w:noProof/>
                <w:webHidden/>
              </w:rPr>
            </w:r>
            <w:r w:rsidR="00C32423" w:rsidRPr="00BE5372">
              <w:rPr>
                <w:rFonts w:ascii="Arial" w:hAnsi="Arial" w:cs="Arial"/>
                <w:noProof/>
                <w:webHidden/>
              </w:rPr>
              <w:fldChar w:fldCharType="separate"/>
            </w:r>
            <w:r w:rsidR="00474BA4" w:rsidRPr="00BE5372">
              <w:rPr>
                <w:rFonts w:ascii="Arial" w:hAnsi="Arial" w:cs="Arial"/>
                <w:noProof/>
                <w:webHidden/>
              </w:rPr>
              <w:t>10</w:t>
            </w:r>
            <w:r w:rsidR="00C32423" w:rsidRPr="00BE5372">
              <w:rPr>
                <w:rFonts w:ascii="Arial" w:hAnsi="Arial" w:cs="Arial"/>
                <w:noProof/>
                <w:webHidden/>
              </w:rPr>
              <w:fldChar w:fldCharType="end"/>
            </w:r>
          </w:hyperlink>
        </w:p>
        <w:p w:rsidR="00E10391" w:rsidRPr="00BE5372" w:rsidRDefault="00817593" w:rsidP="00E10391">
          <w:pPr>
            <w:pStyle w:val="TOC3"/>
            <w:tabs>
              <w:tab w:val="right" w:leader="dot" w:pos="9488"/>
            </w:tabs>
            <w:rPr>
              <w:rFonts w:ascii="Arial" w:eastAsiaTheme="minorEastAsia" w:hAnsi="Arial" w:cs="Arial"/>
              <w:noProof/>
              <w:sz w:val="22"/>
              <w:szCs w:val="22"/>
              <w:lang w:val="en-AU" w:eastAsia="en-AU"/>
            </w:rPr>
          </w:pPr>
          <w:hyperlink w:anchor="_Toc377638231" w:history="1">
            <w:r w:rsidR="00E10391" w:rsidRPr="00BE5372">
              <w:rPr>
                <w:rStyle w:val="Hyperlink"/>
                <w:rFonts w:ascii="Arial" w:hAnsi="Arial" w:cs="Arial"/>
                <w:noProof/>
              </w:rPr>
              <w:t xml:space="preserve">Standard 1.3 Deliver </w:t>
            </w:r>
            <w:r w:rsidR="00787D53" w:rsidRPr="00BE5372">
              <w:rPr>
                <w:rStyle w:val="Hyperlink"/>
                <w:rFonts w:ascii="Arial" w:hAnsi="Arial" w:cs="Arial"/>
                <w:noProof/>
              </w:rPr>
              <w:t>‘</w:t>
            </w:r>
            <w:r w:rsidR="00E10391" w:rsidRPr="00BE5372">
              <w:rPr>
                <w:rStyle w:val="Hyperlink"/>
                <w:rFonts w:ascii="Arial" w:hAnsi="Arial" w:cs="Arial"/>
                <w:noProof/>
              </w:rPr>
              <w:t>patient-centred</w:t>
            </w:r>
            <w:r w:rsidR="00787D53" w:rsidRPr="00BE5372">
              <w:rPr>
                <w:rStyle w:val="Hyperlink"/>
                <w:rFonts w:ascii="Arial" w:hAnsi="Arial" w:cs="Arial"/>
                <w:noProof/>
              </w:rPr>
              <w:t>’</w:t>
            </w:r>
            <w:r w:rsidR="00E10391" w:rsidRPr="00BE5372">
              <w:rPr>
                <w:rStyle w:val="Hyperlink"/>
                <w:rFonts w:ascii="Arial" w:hAnsi="Arial" w:cs="Arial"/>
                <w:noProof/>
              </w:rPr>
              <w:t xml:space="preserve"> care</w:t>
            </w:r>
            <w:r w:rsidR="00E10391" w:rsidRPr="00BE5372">
              <w:rPr>
                <w:rFonts w:ascii="Arial" w:hAnsi="Arial" w:cs="Arial"/>
                <w:noProof/>
                <w:webHidden/>
              </w:rPr>
              <w:tab/>
            </w:r>
            <w:r w:rsidR="00C32423" w:rsidRPr="00BE5372">
              <w:rPr>
                <w:rFonts w:ascii="Arial" w:hAnsi="Arial" w:cs="Arial"/>
                <w:noProof/>
                <w:webHidden/>
              </w:rPr>
              <w:fldChar w:fldCharType="begin"/>
            </w:r>
            <w:r w:rsidR="00E10391" w:rsidRPr="00BE5372">
              <w:rPr>
                <w:rFonts w:ascii="Arial" w:hAnsi="Arial" w:cs="Arial"/>
                <w:noProof/>
                <w:webHidden/>
              </w:rPr>
              <w:instrText xml:space="preserve"> PAGEREF _Toc377638231 \h </w:instrText>
            </w:r>
            <w:r w:rsidR="00C32423" w:rsidRPr="00BE5372">
              <w:rPr>
                <w:rFonts w:ascii="Arial" w:hAnsi="Arial" w:cs="Arial"/>
                <w:noProof/>
                <w:webHidden/>
              </w:rPr>
            </w:r>
            <w:r w:rsidR="00C32423" w:rsidRPr="00BE5372">
              <w:rPr>
                <w:rFonts w:ascii="Arial" w:hAnsi="Arial" w:cs="Arial"/>
                <w:noProof/>
                <w:webHidden/>
              </w:rPr>
              <w:fldChar w:fldCharType="separate"/>
            </w:r>
            <w:r w:rsidR="00474BA4" w:rsidRPr="00BE5372">
              <w:rPr>
                <w:rFonts w:ascii="Arial" w:hAnsi="Arial" w:cs="Arial"/>
                <w:noProof/>
                <w:webHidden/>
              </w:rPr>
              <w:t>11</w:t>
            </w:r>
            <w:r w:rsidR="00C32423" w:rsidRPr="00BE5372">
              <w:rPr>
                <w:rFonts w:ascii="Arial" w:hAnsi="Arial" w:cs="Arial"/>
                <w:noProof/>
                <w:webHidden/>
              </w:rPr>
              <w:fldChar w:fldCharType="end"/>
            </w:r>
          </w:hyperlink>
        </w:p>
        <w:p w:rsidR="00E10391" w:rsidRPr="00BE5372" w:rsidRDefault="00817593" w:rsidP="00E10391">
          <w:pPr>
            <w:pStyle w:val="TOC3"/>
            <w:tabs>
              <w:tab w:val="right" w:leader="dot" w:pos="9488"/>
            </w:tabs>
            <w:rPr>
              <w:rFonts w:ascii="Arial" w:eastAsiaTheme="minorEastAsia" w:hAnsi="Arial" w:cs="Arial"/>
              <w:noProof/>
              <w:sz w:val="22"/>
              <w:szCs w:val="22"/>
              <w:lang w:val="en-AU" w:eastAsia="en-AU"/>
            </w:rPr>
          </w:pPr>
          <w:hyperlink w:anchor="_Toc377638232" w:history="1">
            <w:r w:rsidR="00E10391" w:rsidRPr="00BE5372">
              <w:rPr>
                <w:rStyle w:val="Hyperlink"/>
                <w:rFonts w:ascii="Arial" w:hAnsi="Arial" w:cs="Arial"/>
                <w:noProof/>
              </w:rPr>
              <w:t>Standard 1.4 Manage quality and safety</w:t>
            </w:r>
            <w:r w:rsidR="00E10391" w:rsidRPr="00BE5372">
              <w:rPr>
                <w:rFonts w:ascii="Arial" w:hAnsi="Arial" w:cs="Arial"/>
                <w:noProof/>
                <w:webHidden/>
              </w:rPr>
              <w:tab/>
            </w:r>
            <w:r w:rsidR="00C32423" w:rsidRPr="00BE5372">
              <w:rPr>
                <w:rFonts w:ascii="Arial" w:hAnsi="Arial" w:cs="Arial"/>
                <w:noProof/>
                <w:webHidden/>
              </w:rPr>
              <w:fldChar w:fldCharType="begin"/>
            </w:r>
            <w:r w:rsidR="00E10391" w:rsidRPr="00BE5372">
              <w:rPr>
                <w:rFonts w:ascii="Arial" w:hAnsi="Arial" w:cs="Arial"/>
                <w:noProof/>
                <w:webHidden/>
              </w:rPr>
              <w:instrText xml:space="preserve"> PAGEREF _Toc377638232 \h </w:instrText>
            </w:r>
            <w:r w:rsidR="00C32423" w:rsidRPr="00BE5372">
              <w:rPr>
                <w:rFonts w:ascii="Arial" w:hAnsi="Arial" w:cs="Arial"/>
                <w:noProof/>
                <w:webHidden/>
              </w:rPr>
            </w:r>
            <w:r w:rsidR="00C32423" w:rsidRPr="00BE5372">
              <w:rPr>
                <w:rFonts w:ascii="Arial" w:hAnsi="Arial" w:cs="Arial"/>
                <w:noProof/>
                <w:webHidden/>
              </w:rPr>
              <w:fldChar w:fldCharType="separate"/>
            </w:r>
            <w:r w:rsidR="00474BA4" w:rsidRPr="00BE5372">
              <w:rPr>
                <w:rFonts w:ascii="Arial" w:hAnsi="Arial" w:cs="Arial"/>
                <w:noProof/>
                <w:webHidden/>
              </w:rPr>
              <w:t>13</w:t>
            </w:r>
            <w:r w:rsidR="00C32423" w:rsidRPr="00BE5372">
              <w:rPr>
                <w:rFonts w:ascii="Arial" w:hAnsi="Arial" w:cs="Arial"/>
                <w:noProof/>
                <w:webHidden/>
              </w:rPr>
              <w:fldChar w:fldCharType="end"/>
            </w:r>
          </w:hyperlink>
        </w:p>
        <w:p w:rsidR="00E10391" w:rsidRPr="00BE5372" w:rsidRDefault="00817593" w:rsidP="00E10391">
          <w:pPr>
            <w:pStyle w:val="TOC3"/>
            <w:tabs>
              <w:tab w:val="right" w:leader="dot" w:pos="9488"/>
            </w:tabs>
            <w:rPr>
              <w:rFonts w:ascii="Arial" w:eastAsiaTheme="minorEastAsia" w:hAnsi="Arial" w:cs="Arial"/>
              <w:noProof/>
              <w:sz w:val="22"/>
              <w:szCs w:val="22"/>
              <w:lang w:val="en-AU" w:eastAsia="en-AU"/>
            </w:rPr>
          </w:pPr>
          <w:hyperlink w:anchor="_Toc377638233" w:history="1">
            <w:r w:rsidR="00E10391" w:rsidRPr="00BE5372">
              <w:rPr>
                <w:rStyle w:val="Hyperlink"/>
                <w:rFonts w:ascii="Arial" w:hAnsi="Arial" w:cs="Arial"/>
                <w:noProof/>
              </w:rPr>
              <w:t>Standard 1.5 Maintain and extend professional competence</w:t>
            </w:r>
            <w:r w:rsidR="00E10391" w:rsidRPr="00BE5372">
              <w:rPr>
                <w:rFonts w:ascii="Arial" w:hAnsi="Arial" w:cs="Arial"/>
                <w:noProof/>
                <w:webHidden/>
              </w:rPr>
              <w:tab/>
            </w:r>
            <w:r w:rsidR="00C32423" w:rsidRPr="00BE5372">
              <w:rPr>
                <w:rFonts w:ascii="Arial" w:hAnsi="Arial" w:cs="Arial"/>
                <w:noProof/>
                <w:webHidden/>
              </w:rPr>
              <w:fldChar w:fldCharType="begin"/>
            </w:r>
            <w:r w:rsidR="00E10391" w:rsidRPr="00BE5372">
              <w:rPr>
                <w:rFonts w:ascii="Arial" w:hAnsi="Arial" w:cs="Arial"/>
                <w:noProof/>
                <w:webHidden/>
              </w:rPr>
              <w:instrText xml:space="preserve"> PAGEREF _Toc377638233 \h </w:instrText>
            </w:r>
            <w:r w:rsidR="00C32423" w:rsidRPr="00BE5372">
              <w:rPr>
                <w:rFonts w:ascii="Arial" w:hAnsi="Arial" w:cs="Arial"/>
                <w:noProof/>
                <w:webHidden/>
              </w:rPr>
            </w:r>
            <w:r w:rsidR="00C32423" w:rsidRPr="00BE5372">
              <w:rPr>
                <w:rFonts w:ascii="Arial" w:hAnsi="Arial" w:cs="Arial"/>
                <w:noProof/>
                <w:webHidden/>
              </w:rPr>
              <w:fldChar w:fldCharType="separate"/>
            </w:r>
            <w:r w:rsidR="00474BA4" w:rsidRPr="00BE5372">
              <w:rPr>
                <w:rFonts w:ascii="Arial" w:hAnsi="Arial" w:cs="Arial"/>
                <w:noProof/>
                <w:webHidden/>
              </w:rPr>
              <w:t>14</w:t>
            </w:r>
            <w:r w:rsidR="00C32423" w:rsidRPr="00BE5372">
              <w:rPr>
                <w:rFonts w:ascii="Arial" w:hAnsi="Arial" w:cs="Arial"/>
                <w:noProof/>
                <w:webHidden/>
              </w:rPr>
              <w:fldChar w:fldCharType="end"/>
            </w:r>
          </w:hyperlink>
        </w:p>
        <w:p w:rsidR="00E10391" w:rsidRPr="00BE5372" w:rsidRDefault="00817593" w:rsidP="00E10391">
          <w:pPr>
            <w:pStyle w:val="TOC2"/>
            <w:tabs>
              <w:tab w:val="right" w:leader="dot" w:pos="9488"/>
            </w:tabs>
            <w:rPr>
              <w:rFonts w:ascii="Arial" w:eastAsiaTheme="minorEastAsia" w:hAnsi="Arial" w:cs="Arial"/>
              <w:noProof/>
              <w:sz w:val="22"/>
              <w:szCs w:val="22"/>
              <w:lang w:val="en-AU" w:eastAsia="en-AU"/>
            </w:rPr>
          </w:pPr>
          <w:hyperlink w:anchor="_Toc377638234" w:history="1">
            <w:r w:rsidR="00E10391" w:rsidRPr="00BE5372">
              <w:rPr>
                <w:rStyle w:val="Hyperlink"/>
                <w:rFonts w:ascii="Arial" w:hAnsi="Arial" w:cs="Arial"/>
                <w:noProof/>
              </w:rPr>
              <w:t>Domain 2: Communication, collaboration and self-management</w:t>
            </w:r>
            <w:r w:rsidR="00E10391" w:rsidRPr="00BE5372">
              <w:rPr>
                <w:rFonts w:ascii="Arial" w:hAnsi="Arial" w:cs="Arial"/>
                <w:noProof/>
                <w:webHidden/>
              </w:rPr>
              <w:tab/>
            </w:r>
            <w:r w:rsidR="00C32423" w:rsidRPr="00BE5372">
              <w:rPr>
                <w:rFonts w:ascii="Arial" w:hAnsi="Arial" w:cs="Arial"/>
                <w:noProof/>
                <w:webHidden/>
              </w:rPr>
              <w:fldChar w:fldCharType="begin"/>
            </w:r>
            <w:r w:rsidR="00E10391" w:rsidRPr="00BE5372">
              <w:rPr>
                <w:rFonts w:ascii="Arial" w:hAnsi="Arial" w:cs="Arial"/>
                <w:noProof/>
                <w:webHidden/>
              </w:rPr>
              <w:instrText xml:space="preserve"> PAGEREF _Toc377638234 \h </w:instrText>
            </w:r>
            <w:r w:rsidR="00C32423" w:rsidRPr="00BE5372">
              <w:rPr>
                <w:rFonts w:ascii="Arial" w:hAnsi="Arial" w:cs="Arial"/>
                <w:noProof/>
                <w:webHidden/>
              </w:rPr>
            </w:r>
            <w:r w:rsidR="00C32423" w:rsidRPr="00BE5372">
              <w:rPr>
                <w:rFonts w:ascii="Arial" w:hAnsi="Arial" w:cs="Arial"/>
                <w:noProof/>
                <w:webHidden/>
              </w:rPr>
              <w:fldChar w:fldCharType="separate"/>
            </w:r>
            <w:r w:rsidR="00474BA4" w:rsidRPr="00BE5372">
              <w:rPr>
                <w:rFonts w:ascii="Arial" w:hAnsi="Arial" w:cs="Arial"/>
                <w:noProof/>
                <w:webHidden/>
              </w:rPr>
              <w:t>15</w:t>
            </w:r>
            <w:r w:rsidR="00C32423" w:rsidRPr="00BE5372">
              <w:rPr>
                <w:rFonts w:ascii="Arial" w:hAnsi="Arial" w:cs="Arial"/>
                <w:noProof/>
                <w:webHidden/>
              </w:rPr>
              <w:fldChar w:fldCharType="end"/>
            </w:r>
          </w:hyperlink>
        </w:p>
        <w:p w:rsidR="00E10391" w:rsidRPr="00BE5372" w:rsidRDefault="00817593" w:rsidP="00E10391">
          <w:pPr>
            <w:pStyle w:val="TOC3"/>
            <w:tabs>
              <w:tab w:val="right" w:leader="dot" w:pos="9488"/>
            </w:tabs>
            <w:rPr>
              <w:rFonts w:ascii="Arial" w:eastAsiaTheme="minorEastAsia" w:hAnsi="Arial" w:cs="Arial"/>
              <w:noProof/>
              <w:sz w:val="22"/>
              <w:szCs w:val="22"/>
              <w:lang w:val="en-AU" w:eastAsia="en-AU"/>
            </w:rPr>
          </w:pPr>
          <w:hyperlink w:anchor="_Toc377638235" w:history="1">
            <w:r w:rsidR="00E10391" w:rsidRPr="00BE5372">
              <w:rPr>
                <w:rStyle w:val="Hyperlink"/>
                <w:rFonts w:ascii="Arial" w:hAnsi="Arial" w:cs="Arial"/>
                <w:noProof/>
              </w:rPr>
              <w:t>Standard 2.1 Communicate effectively</w:t>
            </w:r>
            <w:r w:rsidR="00E10391" w:rsidRPr="00BE5372">
              <w:rPr>
                <w:rFonts w:ascii="Arial" w:hAnsi="Arial" w:cs="Arial"/>
                <w:noProof/>
                <w:webHidden/>
              </w:rPr>
              <w:tab/>
            </w:r>
            <w:r w:rsidR="00C32423" w:rsidRPr="00BE5372">
              <w:rPr>
                <w:rFonts w:ascii="Arial" w:hAnsi="Arial" w:cs="Arial"/>
                <w:noProof/>
                <w:webHidden/>
              </w:rPr>
              <w:fldChar w:fldCharType="begin"/>
            </w:r>
            <w:r w:rsidR="00E10391" w:rsidRPr="00BE5372">
              <w:rPr>
                <w:rFonts w:ascii="Arial" w:hAnsi="Arial" w:cs="Arial"/>
                <w:noProof/>
                <w:webHidden/>
              </w:rPr>
              <w:instrText xml:space="preserve"> PAGEREF _Toc377638235 \h </w:instrText>
            </w:r>
            <w:r w:rsidR="00C32423" w:rsidRPr="00BE5372">
              <w:rPr>
                <w:rFonts w:ascii="Arial" w:hAnsi="Arial" w:cs="Arial"/>
                <w:noProof/>
                <w:webHidden/>
              </w:rPr>
            </w:r>
            <w:r w:rsidR="00C32423" w:rsidRPr="00BE5372">
              <w:rPr>
                <w:rFonts w:ascii="Arial" w:hAnsi="Arial" w:cs="Arial"/>
                <w:noProof/>
                <w:webHidden/>
              </w:rPr>
              <w:fldChar w:fldCharType="separate"/>
            </w:r>
            <w:r w:rsidR="00474BA4" w:rsidRPr="00BE5372">
              <w:rPr>
                <w:rFonts w:ascii="Arial" w:hAnsi="Arial" w:cs="Arial"/>
                <w:noProof/>
                <w:webHidden/>
              </w:rPr>
              <w:t>15</w:t>
            </w:r>
            <w:r w:rsidR="00C32423" w:rsidRPr="00BE5372">
              <w:rPr>
                <w:rFonts w:ascii="Arial" w:hAnsi="Arial" w:cs="Arial"/>
                <w:noProof/>
                <w:webHidden/>
              </w:rPr>
              <w:fldChar w:fldCharType="end"/>
            </w:r>
          </w:hyperlink>
        </w:p>
        <w:p w:rsidR="00E10391" w:rsidRPr="00BE5372" w:rsidRDefault="00817593" w:rsidP="00E10391">
          <w:pPr>
            <w:pStyle w:val="TOC3"/>
            <w:tabs>
              <w:tab w:val="right" w:leader="dot" w:pos="9488"/>
            </w:tabs>
            <w:rPr>
              <w:rFonts w:ascii="Arial" w:eastAsiaTheme="minorEastAsia" w:hAnsi="Arial" w:cs="Arial"/>
              <w:noProof/>
              <w:sz w:val="22"/>
              <w:szCs w:val="22"/>
              <w:lang w:val="en-AU" w:eastAsia="en-AU"/>
            </w:rPr>
          </w:pPr>
          <w:hyperlink w:anchor="_Toc377638236" w:history="1">
            <w:r w:rsidR="00E10391" w:rsidRPr="00BE5372">
              <w:rPr>
                <w:rStyle w:val="Hyperlink"/>
                <w:rFonts w:ascii="Arial" w:hAnsi="Arial" w:cs="Arial"/>
                <w:noProof/>
              </w:rPr>
              <w:t>Standard 2.2 Work to resolve problems</w:t>
            </w:r>
            <w:r w:rsidR="00E10391" w:rsidRPr="00BE5372">
              <w:rPr>
                <w:rFonts w:ascii="Arial" w:hAnsi="Arial" w:cs="Arial"/>
                <w:noProof/>
                <w:webHidden/>
              </w:rPr>
              <w:tab/>
            </w:r>
            <w:r w:rsidR="00C32423" w:rsidRPr="00BE5372">
              <w:rPr>
                <w:rFonts w:ascii="Arial" w:hAnsi="Arial" w:cs="Arial"/>
                <w:noProof/>
                <w:webHidden/>
              </w:rPr>
              <w:fldChar w:fldCharType="begin"/>
            </w:r>
            <w:r w:rsidR="00E10391" w:rsidRPr="00BE5372">
              <w:rPr>
                <w:rFonts w:ascii="Arial" w:hAnsi="Arial" w:cs="Arial"/>
                <w:noProof/>
                <w:webHidden/>
              </w:rPr>
              <w:instrText xml:space="preserve"> PAGEREF _Toc377638236 \h </w:instrText>
            </w:r>
            <w:r w:rsidR="00C32423" w:rsidRPr="00BE5372">
              <w:rPr>
                <w:rFonts w:ascii="Arial" w:hAnsi="Arial" w:cs="Arial"/>
                <w:noProof/>
                <w:webHidden/>
              </w:rPr>
            </w:r>
            <w:r w:rsidR="00C32423" w:rsidRPr="00BE5372">
              <w:rPr>
                <w:rFonts w:ascii="Arial" w:hAnsi="Arial" w:cs="Arial"/>
                <w:noProof/>
                <w:webHidden/>
              </w:rPr>
              <w:fldChar w:fldCharType="separate"/>
            </w:r>
            <w:r w:rsidR="00474BA4" w:rsidRPr="00BE5372">
              <w:rPr>
                <w:rFonts w:ascii="Arial" w:hAnsi="Arial" w:cs="Arial"/>
                <w:noProof/>
                <w:webHidden/>
              </w:rPr>
              <w:t>16</w:t>
            </w:r>
            <w:r w:rsidR="00C32423" w:rsidRPr="00BE5372">
              <w:rPr>
                <w:rFonts w:ascii="Arial" w:hAnsi="Arial" w:cs="Arial"/>
                <w:noProof/>
                <w:webHidden/>
              </w:rPr>
              <w:fldChar w:fldCharType="end"/>
            </w:r>
          </w:hyperlink>
        </w:p>
        <w:p w:rsidR="00E10391" w:rsidRPr="00BE5372" w:rsidRDefault="00817593" w:rsidP="00E10391">
          <w:pPr>
            <w:pStyle w:val="TOC3"/>
            <w:tabs>
              <w:tab w:val="right" w:leader="dot" w:pos="9488"/>
            </w:tabs>
            <w:rPr>
              <w:rFonts w:ascii="Arial" w:eastAsiaTheme="minorEastAsia" w:hAnsi="Arial" w:cs="Arial"/>
              <w:noProof/>
              <w:sz w:val="22"/>
              <w:szCs w:val="22"/>
              <w:lang w:val="en-AU" w:eastAsia="en-AU"/>
            </w:rPr>
          </w:pPr>
          <w:hyperlink w:anchor="_Toc377638237" w:history="1">
            <w:r w:rsidR="00E10391" w:rsidRPr="00BE5372">
              <w:rPr>
                <w:rStyle w:val="Hyperlink"/>
                <w:rFonts w:ascii="Arial" w:hAnsi="Arial" w:cs="Arial"/>
                <w:noProof/>
              </w:rPr>
              <w:t>Standard 2.3 Collaborate with members of the health care team</w:t>
            </w:r>
            <w:r w:rsidR="00E10391" w:rsidRPr="00BE5372">
              <w:rPr>
                <w:rFonts w:ascii="Arial" w:hAnsi="Arial" w:cs="Arial"/>
                <w:noProof/>
                <w:webHidden/>
              </w:rPr>
              <w:tab/>
            </w:r>
            <w:r w:rsidR="00C32423" w:rsidRPr="00BE5372">
              <w:rPr>
                <w:rFonts w:ascii="Arial" w:hAnsi="Arial" w:cs="Arial"/>
                <w:noProof/>
                <w:webHidden/>
              </w:rPr>
              <w:fldChar w:fldCharType="begin"/>
            </w:r>
            <w:r w:rsidR="00E10391" w:rsidRPr="00BE5372">
              <w:rPr>
                <w:rFonts w:ascii="Arial" w:hAnsi="Arial" w:cs="Arial"/>
                <w:noProof/>
                <w:webHidden/>
              </w:rPr>
              <w:instrText xml:space="preserve"> PAGEREF _Toc377638237 \h </w:instrText>
            </w:r>
            <w:r w:rsidR="00C32423" w:rsidRPr="00BE5372">
              <w:rPr>
                <w:rFonts w:ascii="Arial" w:hAnsi="Arial" w:cs="Arial"/>
                <w:noProof/>
                <w:webHidden/>
              </w:rPr>
            </w:r>
            <w:r w:rsidR="00C32423" w:rsidRPr="00BE5372">
              <w:rPr>
                <w:rFonts w:ascii="Arial" w:hAnsi="Arial" w:cs="Arial"/>
                <w:noProof/>
                <w:webHidden/>
              </w:rPr>
              <w:fldChar w:fldCharType="separate"/>
            </w:r>
            <w:r w:rsidR="00474BA4" w:rsidRPr="00BE5372">
              <w:rPr>
                <w:rFonts w:ascii="Arial" w:hAnsi="Arial" w:cs="Arial"/>
                <w:noProof/>
                <w:webHidden/>
              </w:rPr>
              <w:t>17</w:t>
            </w:r>
            <w:r w:rsidR="00C32423" w:rsidRPr="00BE5372">
              <w:rPr>
                <w:rFonts w:ascii="Arial" w:hAnsi="Arial" w:cs="Arial"/>
                <w:noProof/>
                <w:webHidden/>
              </w:rPr>
              <w:fldChar w:fldCharType="end"/>
            </w:r>
          </w:hyperlink>
        </w:p>
        <w:p w:rsidR="00E10391" w:rsidRPr="00BE5372" w:rsidRDefault="00817593" w:rsidP="00E10391">
          <w:pPr>
            <w:pStyle w:val="TOC3"/>
            <w:tabs>
              <w:tab w:val="right" w:leader="dot" w:pos="9488"/>
            </w:tabs>
            <w:rPr>
              <w:rFonts w:ascii="Arial" w:eastAsiaTheme="minorEastAsia" w:hAnsi="Arial" w:cs="Arial"/>
              <w:noProof/>
              <w:sz w:val="22"/>
              <w:szCs w:val="22"/>
              <w:lang w:val="en-AU" w:eastAsia="en-AU"/>
            </w:rPr>
          </w:pPr>
          <w:hyperlink w:anchor="_Toc377638238" w:history="1">
            <w:r w:rsidR="00E10391" w:rsidRPr="00BE5372">
              <w:rPr>
                <w:rStyle w:val="Hyperlink"/>
                <w:rFonts w:ascii="Arial" w:hAnsi="Arial" w:cs="Arial"/>
                <w:noProof/>
              </w:rPr>
              <w:t>Standard 2.4 Manage conflict</w:t>
            </w:r>
            <w:r w:rsidR="00E10391" w:rsidRPr="00BE5372">
              <w:rPr>
                <w:rFonts w:ascii="Arial" w:hAnsi="Arial" w:cs="Arial"/>
                <w:noProof/>
                <w:webHidden/>
              </w:rPr>
              <w:tab/>
            </w:r>
            <w:r w:rsidR="00C32423" w:rsidRPr="00BE5372">
              <w:rPr>
                <w:rFonts w:ascii="Arial" w:hAnsi="Arial" w:cs="Arial"/>
                <w:noProof/>
                <w:webHidden/>
              </w:rPr>
              <w:fldChar w:fldCharType="begin"/>
            </w:r>
            <w:r w:rsidR="00E10391" w:rsidRPr="00BE5372">
              <w:rPr>
                <w:rFonts w:ascii="Arial" w:hAnsi="Arial" w:cs="Arial"/>
                <w:noProof/>
                <w:webHidden/>
              </w:rPr>
              <w:instrText xml:space="preserve"> PAGEREF _Toc377638238 \h </w:instrText>
            </w:r>
            <w:r w:rsidR="00C32423" w:rsidRPr="00BE5372">
              <w:rPr>
                <w:rFonts w:ascii="Arial" w:hAnsi="Arial" w:cs="Arial"/>
                <w:noProof/>
                <w:webHidden/>
              </w:rPr>
            </w:r>
            <w:r w:rsidR="00C32423" w:rsidRPr="00BE5372">
              <w:rPr>
                <w:rFonts w:ascii="Arial" w:hAnsi="Arial" w:cs="Arial"/>
                <w:noProof/>
                <w:webHidden/>
              </w:rPr>
              <w:fldChar w:fldCharType="separate"/>
            </w:r>
            <w:r w:rsidR="00474BA4" w:rsidRPr="00BE5372">
              <w:rPr>
                <w:rFonts w:ascii="Arial" w:hAnsi="Arial" w:cs="Arial"/>
                <w:noProof/>
                <w:webHidden/>
              </w:rPr>
              <w:t>18</w:t>
            </w:r>
            <w:r w:rsidR="00C32423" w:rsidRPr="00BE5372">
              <w:rPr>
                <w:rFonts w:ascii="Arial" w:hAnsi="Arial" w:cs="Arial"/>
                <w:noProof/>
                <w:webHidden/>
              </w:rPr>
              <w:fldChar w:fldCharType="end"/>
            </w:r>
          </w:hyperlink>
        </w:p>
        <w:p w:rsidR="00E10391" w:rsidRPr="00BE5372" w:rsidRDefault="00817593" w:rsidP="00E10391">
          <w:pPr>
            <w:pStyle w:val="TOC3"/>
            <w:tabs>
              <w:tab w:val="right" w:leader="dot" w:pos="9488"/>
            </w:tabs>
            <w:rPr>
              <w:rFonts w:ascii="Arial" w:eastAsiaTheme="minorEastAsia" w:hAnsi="Arial" w:cs="Arial"/>
              <w:noProof/>
              <w:sz w:val="22"/>
              <w:szCs w:val="22"/>
              <w:lang w:val="en-AU" w:eastAsia="en-AU"/>
            </w:rPr>
          </w:pPr>
          <w:hyperlink w:anchor="_Toc377638239" w:history="1">
            <w:r w:rsidR="00E10391" w:rsidRPr="00BE5372">
              <w:rPr>
                <w:rStyle w:val="Hyperlink"/>
                <w:rFonts w:ascii="Arial" w:hAnsi="Arial" w:cs="Arial"/>
                <w:noProof/>
              </w:rPr>
              <w:t>Standard 2.5 Commitment to work and the workplace</w:t>
            </w:r>
            <w:r w:rsidR="00E10391" w:rsidRPr="00BE5372">
              <w:rPr>
                <w:rFonts w:ascii="Arial" w:hAnsi="Arial" w:cs="Arial"/>
                <w:noProof/>
                <w:webHidden/>
              </w:rPr>
              <w:tab/>
            </w:r>
            <w:r w:rsidR="00C32423" w:rsidRPr="00BE5372">
              <w:rPr>
                <w:rFonts w:ascii="Arial" w:hAnsi="Arial" w:cs="Arial"/>
                <w:noProof/>
                <w:webHidden/>
              </w:rPr>
              <w:fldChar w:fldCharType="begin"/>
            </w:r>
            <w:r w:rsidR="00E10391" w:rsidRPr="00BE5372">
              <w:rPr>
                <w:rFonts w:ascii="Arial" w:hAnsi="Arial" w:cs="Arial"/>
                <w:noProof/>
                <w:webHidden/>
              </w:rPr>
              <w:instrText xml:space="preserve"> PAGEREF _Toc377638239 \h </w:instrText>
            </w:r>
            <w:r w:rsidR="00C32423" w:rsidRPr="00BE5372">
              <w:rPr>
                <w:rFonts w:ascii="Arial" w:hAnsi="Arial" w:cs="Arial"/>
                <w:noProof/>
                <w:webHidden/>
              </w:rPr>
            </w:r>
            <w:r w:rsidR="00C32423" w:rsidRPr="00BE5372">
              <w:rPr>
                <w:rFonts w:ascii="Arial" w:hAnsi="Arial" w:cs="Arial"/>
                <w:noProof/>
                <w:webHidden/>
              </w:rPr>
              <w:fldChar w:fldCharType="separate"/>
            </w:r>
            <w:r w:rsidR="00474BA4" w:rsidRPr="00BE5372">
              <w:rPr>
                <w:rFonts w:ascii="Arial" w:hAnsi="Arial" w:cs="Arial"/>
                <w:noProof/>
                <w:webHidden/>
              </w:rPr>
              <w:t>19</w:t>
            </w:r>
            <w:r w:rsidR="00C32423" w:rsidRPr="00BE5372">
              <w:rPr>
                <w:rFonts w:ascii="Arial" w:hAnsi="Arial" w:cs="Arial"/>
                <w:noProof/>
                <w:webHidden/>
              </w:rPr>
              <w:fldChar w:fldCharType="end"/>
            </w:r>
          </w:hyperlink>
        </w:p>
        <w:p w:rsidR="00E10391" w:rsidRPr="00BE5372" w:rsidRDefault="00817593" w:rsidP="00E10391">
          <w:pPr>
            <w:pStyle w:val="TOC3"/>
            <w:tabs>
              <w:tab w:val="right" w:leader="dot" w:pos="9488"/>
            </w:tabs>
            <w:rPr>
              <w:rFonts w:ascii="Arial" w:eastAsiaTheme="minorEastAsia" w:hAnsi="Arial" w:cs="Arial"/>
              <w:noProof/>
              <w:sz w:val="22"/>
              <w:szCs w:val="22"/>
              <w:lang w:val="en-AU" w:eastAsia="en-AU"/>
            </w:rPr>
          </w:pPr>
          <w:hyperlink w:anchor="_Toc377638240" w:history="1">
            <w:r w:rsidR="00E10391" w:rsidRPr="00BE5372">
              <w:rPr>
                <w:rStyle w:val="Hyperlink"/>
                <w:rFonts w:ascii="Arial" w:hAnsi="Arial" w:cs="Arial"/>
                <w:noProof/>
              </w:rPr>
              <w:t>Standard 2.6 Plan and manage professional contribution</w:t>
            </w:r>
            <w:r w:rsidR="00E10391" w:rsidRPr="00BE5372">
              <w:rPr>
                <w:rFonts w:ascii="Arial" w:hAnsi="Arial" w:cs="Arial"/>
                <w:noProof/>
                <w:webHidden/>
              </w:rPr>
              <w:tab/>
            </w:r>
            <w:r w:rsidR="00C32423" w:rsidRPr="00BE5372">
              <w:rPr>
                <w:rFonts w:ascii="Arial" w:hAnsi="Arial" w:cs="Arial"/>
                <w:noProof/>
                <w:webHidden/>
              </w:rPr>
              <w:fldChar w:fldCharType="begin"/>
            </w:r>
            <w:r w:rsidR="00E10391" w:rsidRPr="00BE5372">
              <w:rPr>
                <w:rFonts w:ascii="Arial" w:hAnsi="Arial" w:cs="Arial"/>
                <w:noProof/>
                <w:webHidden/>
              </w:rPr>
              <w:instrText xml:space="preserve"> PAGEREF _Toc377638240 \h </w:instrText>
            </w:r>
            <w:r w:rsidR="00C32423" w:rsidRPr="00BE5372">
              <w:rPr>
                <w:rFonts w:ascii="Arial" w:hAnsi="Arial" w:cs="Arial"/>
                <w:noProof/>
                <w:webHidden/>
              </w:rPr>
            </w:r>
            <w:r w:rsidR="00C32423" w:rsidRPr="00BE5372">
              <w:rPr>
                <w:rFonts w:ascii="Arial" w:hAnsi="Arial" w:cs="Arial"/>
                <w:noProof/>
                <w:webHidden/>
              </w:rPr>
              <w:fldChar w:fldCharType="separate"/>
            </w:r>
            <w:r w:rsidR="00474BA4" w:rsidRPr="00BE5372">
              <w:rPr>
                <w:rFonts w:ascii="Arial" w:hAnsi="Arial" w:cs="Arial"/>
                <w:noProof/>
                <w:webHidden/>
              </w:rPr>
              <w:t>20</w:t>
            </w:r>
            <w:r w:rsidR="00C32423" w:rsidRPr="00BE5372">
              <w:rPr>
                <w:rFonts w:ascii="Arial" w:hAnsi="Arial" w:cs="Arial"/>
                <w:noProof/>
                <w:webHidden/>
              </w:rPr>
              <w:fldChar w:fldCharType="end"/>
            </w:r>
          </w:hyperlink>
        </w:p>
        <w:p w:rsidR="00E10391" w:rsidRPr="00BE5372" w:rsidRDefault="00817593" w:rsidP="00E10391">
          <w:pPr>
            <w:pStyle w:val="TOC3"/>
            <w:tabs>
              <w:tab w:val="right" w:leader="dot" w:pos="9488"/>
            </w:tabs>
            <w:rPr>
              <w:rFonts w:ascii="Arial" w:eastAsiaTheme="minorEastAsia" w:hAnsi="Arial" w:cs="Arial"/>
              <w:noProof/>
              <w:sz w:val="22"/>
              <w:szCs w:val="22"/>
              <w:lang w:val="en-AU" w:eastAsia="en-AU"/>
            </w:rPr>
          </w:pPr>
          <w:hyperlink w:anchor="_Toc377638241" w:history="1">
            <w:r w:rsidR="00E10391" w:rsidRPr="00BE5372">
              <w:rPr>
                <w:rStyle w:val="Hyperlink"/>
                <w:rFonts w:ascii="Arial" w:hAnsi="Arial" w:cs="Arial"/>
                <w:noProof/>
              </w:rPr>
              <w:t>Standard 2.7 Supervise personnel</w:t>
            </w:r>
            <w:r w:rsidR="00E10391" w:rsidRPr="00BE5372">
              <w:rPr>
                <w:rFonts w:ascii="Arial" w:hAnsi="Arial" w:cs="Arial"/>
                <w:noProof/>
                <w:webHidden/>
              </w:rPr>
              <w:tab/>
            </w:r>
            <w:r w:rsidR="00C32423" w:rsidRPr="00BE5372">
              <w:rPr>
                <w:rFonts w:ascii="Arial" w:hAnsi="Arial" w:cs="Arial"/>
                <w:noProof/>
                <w:webHidden/>
              </w:rPr>
              <w:fldChar w:fldCharType="begin"/>
            </w:r>
            <w:r w:rsidR="00E10391" w:rsidRPr="00BE5372">
              <w:rPr>
                <w:rFonts w:ascii="Arial" w:hAnsi="Arial" w:cs="Arial"/>
                <w:noProof/>
                <w:webHidden/>
              </w:rPr>
              <w:instrText xml:space="preserve"> PAGEREF _Toc377638241 \h </w:instrText>
            </w:r>
            <w:r w:rsidR="00C32423" w:rsidRPr="00BE5372">
              <w:rPr>
                <w:rFonts w:ascii="Arial" w:hAnsi="Arial" w:cs="Arial"/>
                <w:noProof/>
                <w:webHidden/>
              </w:rPr>
            </w:r>
            <w:r w:rsidR="00C32423" w:rsidRPr="00BE5372">
              <w:rPr>
                <w:rFonts w:ascii="Arial" w:hAnsi="Arial" w:cs="Arial"/>
                <w:noProof/>
                <w:webHidden/>
              </w:rPr>
              <w:fldChar w:fldCharType="separate"/>
            </w:r>
            <w:r w:rsidR="00474BA4" w:rsidRPr="00BE5372">
              <w:rPr>
                <w:rFonts w:ascii="Arial" w:hAnsi="Arial" w:cs="Arial"/>
                <w:noProof/>
                <w:webHidden/>
              </w:rPr>
              <w:t>21</w:t>
            </w:r>
            <w:r w:rsidR="00C32423" w:rsidRPr="00BE5372">
              <w:rPr>
                <w:rFonts w:ascii="Arial" w:hAnsi="Arial" w:cs="Arial"/>
                <w:noProof/>
                <w:webHidden/>
              </w:rPr>
              <w:fldChar w:fldCharType="end"/>
            </w:r>
          </w:hyperlink>
        </w:p>
        <w:p w:rsidR="00E10391" w:rsidRPr="00BE5372" w:rsidRDefault="00817593" w:rsidP="00E10391">
          <w:pPr>
            <w:pStyle w:val="TOC2"/>
            <w:tabs>
              <w:tab w:val="right" w:leader="dot" w:pos="9488"/>
            </w:tabs>
            <w:rPr>
              <w:rFonts w:ascii="Arial" w:eastAsiaTheme="minorEastAsia" w:hAnsi="Arial" w:cs="Arial"/>
              <w:noProof/>
              <w:sz w:val="22"/>
              <w:szCs w:val="22"/>
              <w:lang w:val="en-AU" w:eastAsia="en-AU"/>
            </w:rPr>
          </w:pPr>
          <w:hyperlink w:anchor="_Toc377638242" w:history="1">
            <w:r w:rsidR="00E10391" w:rsidRPr="00BE5372">
              <w:rPr>
                <w:rStyle w:val="Hyperlink"/>
                <w:rFonts w:ascii="Arial" w:hAnsi="Arial" w:cs="Arial"/>
                <w:noProof/>
              </w:rPr>
              <w:t>Domain 4: Review and supply prescribed medicines</w:t>
            </w:r>
            <w:r w:rsidR="00E10391" w:rsidRPr="00BE5372">
              <w:rPr>
                <w:rFonts w:ascii="Arial" w:hAnsi="Arial" w:cs="Arial"/>
                <w:noProof/>
                <w:webHidden/>
              </w:rPr>
              <w:tab/>
            </w:r>
            <w:r w:rsidR="00C32423" w:rsidRPr="00BE5372">
              <w:rPr>
                <w:rFonts w:ascii="Arial" w:hAnsi="Arial" w:cs="Arial"/>
                <w:noProof/>
                <w:webHidden/>
              </w:rPr>
              <w:fldChar w:fldCharType="begin"/>
            </w:r>
            <w:r w:rsidR="00E10391" w:rsidRPr="00BE5372">
              <w:rPr>
                <w:rFonts w:ascii="Arial" w:hAnsi="Arial" w:cs="Arial"/>
                <w:noProof/>
                <w:webHidden/>
              </w:rPr>
              <w:instrText xml:space="preserve"> PAGEREF _Toc377638242 \h </w:instrText>
            </w:r>
            <w:r w:rsidR="00C32423" w:rsidRPr="00BE5372">
              <w:rPr>
                <w:rFonts w:ascii="Arial" w:hAnsi="Arial" w:cs="Arial"/>
                <w:noProof/>
                <w:webHidden/>
              </w:rPr>
            </w:r>
            <w:r w:rsidR="00C32423" w:rsidRPr="00BE5372">
              <w:rPr>
                <w:rFonts w:ascii="Arial" w:hAnsi="Arial" w:cs="Arial"/>
                <w:noProof/>
                <w:webHidden/>
              </w:rPr>
              <w:fldChar w:fldCharType="separate"/>
            </w:r>
            <w:r w:rsidR="00474BA4" w:rsidRPr="00BE5372">
              <w:rPr>
                <w:rFonts w:ascii="Arial" w:hAnsi="Arial" w:cs="Arial"/>
                <w:noProof/>
                <w:webHidden/>
              </w:rPr>
              <w:t>22</w:t>
            </w:r>
            <w:r w:rsidR="00C32423" w:rsidRPr="00BE5372">
              <w:rPr>
                <w:rFonts w:ascii="Arial" w:hAnsi="Arial" w:cs="Arial"/>
                <w:noProof/>
                <w:webHidden/>
              </w:rPr>
              <w:fldChar w:fldCharType="end"/>
            </w:r>
          </w:hyperlink>
        </w:p>
        <w:p w:rsidR="00E10391" w:rsidRPr="00BE5372" w:rsidRDefault="00817593" w:rsidP="00E10391">
          <w:pPr>
            <w:pStyle w:val="TOC3"/>
            <w:tabs>
              <w:tab w:val="right" w:leader="dot" w:pos="9488"/>
            </w:tabs>
            <w:rPr>
              <w:rFonts w:ascii="Arial" w:eastAsiaTheme="minorEastAsia" w:hAnsi="Arial" w:cs="Arial"/>
              <w:noProof/>
              <w:sz w:val="22"/>
              <w:szCs w:val="22"/>
              <w:lang w:val="en-AU" w:eastAsia="en-AU"/>
            </w:rPr>
          </w:pPr>
          <w:hyperlink w:anchor="_Toc377638243" w:history="1">
            <w:r w:rsidR="00E10391" w:rsidRPr="00BE5372">
              <w:rPr>
                <w:rStyle w:val="Hyperlink"/>
                <w:rFonts w:ascii="Arial" w:hAnsi="Arial" w:cs="Arial"/>
                <w:noProof/>
              </w:rPr>
              <w:t>Standard 4.1 Undertake initial prescription assessment</w:t>
            </w:r>
            <w:r w:rsidR="00E10391" w:rsidRPr="00BE5372">
              <w:rPr>
                <w:rFonts w:ascii="Arial" w:hAnsi="Arial" w:cs="Arial"/>
                <w:noProof/>
                <w:webHidden/>
              </w:rPr>
              <w:tab/>
            </w:r>
            <w:r w:rsidR="00C32423" w:rsidRPr="00BE5372">
              <w:rPr>
                <w:rFonts w:ascii="Arial" w:hAnsi="Arial" w:cs="Arial"/>
                <w:noProof/>
                <w:webHidden/>
              </w:rPr>
              <w:fldChar w:fldCharType="begin"/>
            </w:r>
            <w:r w:rsidR="00E10391" w:rsidRPr="00BE5372">
              <w:rPr>
                <w:rFonts w:ascii="Arial" w:hAnsi="Arial" w:cs="Arial"/>
                <w:noProof/>
                <w:webHidden/>
              </w:rPr>
              <w:instrText xml:space="preserve"> PAGEREF _Toc377638243 \h </w:instrText>
            </w:r>
            <w:r w:rsidR="00C32423" w:rsidRPr="00BE5372">
              <w:rPr>
                <w:rFonts w:ascii="Arial" w:hAnsi="Arial" w:cs="Arial"/>
                <w:noProof/>
                <w:webHidden/>
              </w:rPr>
            </w:r>
            <w:r w:rsidR="00C32423" w:rsidRPr="00BE5372">
              <w:rPr>
                <w:rFonts w:ascii="Arial" w:hAnsi="Arial" w:cs="Arial"/>
                <w:noProof/>
                <w:webHidden/>
              </w:rPr>
              <w:fldChar w:fldCharType="separate"/>
            </w:r>
            <w:r w:rsidR="00474BA4" w:rsidRPr="00BE5372">
              <w:rPr>
                <w:rFonts w:ascii="Arial" w:hAnsi="Arial" w:cs="Arial"/>
                <w:noProof/>
                <w:webHidden/>
              </w:rPr>
              <w:t>22</w:t>
            </w:r>
            <w:r w:rsidR="00C32423" w:rsidRPr="00BE5372">
              <w:rPr>
                <w:rFonts w:ascii="Arial" w:hAnsi="Arial" w:cs="Arial"/>
                <w:noProof/>
                <w:webHidden/>
              </w:rPr>
              <w:fldChar w:fldCharType="end"/>
            </w:r>
          </w:hyperlink>
        </w:p>
        <w:p w:rsidR="00E10391" w:rsidRPr="00BE5372" w:rsidRDefault="00817593" w:rsidP="00E10391">
          <w:pPr>
            <w:pStyle w:val="TOC3"/>
            <w:tabs>
              <w:tab w:val="right" w:leader="dot" w:pos="9488"/>
            </w:tabs>
            <w:rPr>
              <w:rFonts w:ascii="Arial" w:eastAsiaTheme="minorEastAsia" w:hAnsi="Arial" w:cs="Arial"/>
              <w:noProof/>
              <w:sz w:val="22"/>
              <w:szCs w:val="22"/>
              <w:lang w:val="en-AU" w:eastAsia="en-AU"/>
            </w:rPr>
          </w:pPr>
          <w:hyperlink w:anchor="_Toc377638244" w:history="1">
            <w:r w:rsidR="00E10391" w:rsidRPr="00BE5372">
              <w:rPr>
                <w:rStyle w:val="Hyperlink"/>
                <w:rFonts w:ascii="Arial" w:hAnsi="Arial" w:cs="Arial"/>
                <w:noProof/>
              </w:rPr>
              <w:t>Standard 4.2 Consider the appropriateness of prescribed medicines</w:t>
            </w:r>
            <w:r w:rsidR="00E10391" w:rsidRPr="00BE5372">
              <w:rPr>
                <w:rFonts w:ascii="Arial" w:hAnsi="Arial" w:cs="Arial"/>
                <w:noProof/>
                <w:webHidden/>
              </w:rPr>
              <w:tab/>
            </w:r>
            <w:r w:rsidR="00C32423" w:rsidRPr="00BE5372">
              <w:rPr>
                <w:rFonts w:ascii="Arial" w:hAnsi="Arial" w:cs="Arial"/>
                <w:noProof/>
                <w:webHidden/>
              </w:rPr>
              <w:fldChar w:fldCharType="begin"/>
            </w:r>
            <w:r w:rsidR="00E10391" w:rsidRPr="00BE5372">
              <w:rPr>
                <w:rFonts w:ascii="Arial" w:hAnsi="Arial" w:cs="Arial"/>
                <w:noProof/>
                <w:webHidden/>
              </w:rPr>
              <w:instrText xml:space="preserve"> PAGEREF _Toc377638244 \h </w:instrText>
            </w:r>
            <w:r w:rsidR="00C32423" w:rsidRPr="00BE5372">
              <w:rPr>
                <w:rFonts w:ascii="Arial" w:hAnsi="Arial" w:cs="Arial"/>
                <w:noProof/>
                <w:webHidden/>
              </w:rPr>
            </w:r>
            <w:r w:rsidR="00C32423" w:rsidRPr="00BE5372">
              <w:rPr>
                <w:rFonts w:ascii="Arial" w:hAnsi="Arial" w:cs="Arial"/>
                <w:noProof/>
                <w:webHidden/>
              </w:rPr>
              <w:fldChar w:fldCharType="separate"/>
            </w:r>
            <w:r w:rsidR="00474BA4" w:rsidRPr="00BE5372">
              <w:rPr>
                <w:rFonts w:ascii="Arial" w:hAnsi="Arial" w:cs="Arial"/>
                <w:noProof/>
                <w:webHidden/>
              </w:rPr>
              <w:t>23</w:t>
            </w:r>
            <w:r w:rsidR="00C32423" w:rsidRPr="00BE5372">
              <w:rPr>
                <w:rFonts w:ascii="Arial" w:hAnsi="Arial" w:cs="Arial"/>
                <w:noProof/>
                <w:webHidden/>
              </w:rPr>
              <w:fldChar w:fldCharType="end"/>
            </w:r>
          </w:hyperlink>
        </w:p>
        <w:p w:rsidR="00E10391" w:rsidRPr="00BE5372" w:rsidRDefault="00817593" w:rsidP="00E10391">
          <w:pPr>
            <w:pStyle w:val="TOC3"/>
            <w:tabs>
              <w:tab w:val="right" w:leader="dot" w:pos="9488"/>
            </w:tabs>
            <w:rPr>
              <w:rFonts w:ascii="Arial" w:eastAsiaTheme="minorEastAsia" w:hAnsi="Arial" w:cs="Arial"/>
              <w:noProof/>
              <w:sz w:val="22"/>
              <w:szCs w:val="22"/>
              <w:lang w:val="en-AU" w:eastAsia="en-AU"/>
            </w:rPr>
          </w:pPr>
          <w:hyperlink w:anchor="_Toc377638245" w:history="1">
            <w:r w:rsidR="00E10391" w:rsidRPr="00BE5372">
              <w:rPr>
                <w:rStyle w:val="Hyperlink"/>
                <w:rFonts w:ascii="Arial" w:hAnsi="Arial" w:cs="Arial"/>
                <w:noProof/>
              </w:rPr>
              <w:t>Standard 4.3 Dispense prescribed medicines</w:t>
            </w:r>
            <w:r w:rsidR="00E10391" w:rsidRPr="00BE5372">
              <w:rPr>
                <w:rFonts w:ascii="Arial" w:hAnsi="Arial" w:cs="Arial"/>
                <w:noProof/>
                <w:webHidden/>
              </w:rPr>
              <w:tab/>
            </w:r>
            <w:r w:rsidR="00C32423" w:rsidRPr="00BE5372">
              <w:rPr>
                <w:rFonts w:ascii="Arial" w:hAnsi="Arial" w:cs="Arial"/>
                <w:noProof/>
                <w:webHidden/>
              </w:rPr>
              <w:fldChar w:fldCharType="begin"/>
            </w:r>
            <w:r w:rsidR="00E10391" w:rsidRPr="00BE5372">
              <w:rPr>
                <w:rFonts w:ascii="Arial" w:hAnsi="Arial" w:cs="Arial"/>
                <w:noProof/>
                <w:webHidden/>
              </w:rPr>
              <w:instrText xml:space="preserve"> PAGEREF _Toc377638245 \h </w:instrText>
            </w:r>
            <w:r w:rsidR="00C32423" w:rsidRPr="00BE5372">
              <w:rPr>
                <w:rFonts w:ascii="Arial" w:hAnsi="Arial" w:cs="Arial"/>
                <w:noProof/>
                <w:webHidden/>
              </w:rPr>
            </w:r>
            <w:r w:rsidR="00C32423" w:rsidRPr="00BE5372">
              <w:rPr>
                <w:rFonts w:ascii="Arial" w:hAnsi="Arial" w:cs="Arial"/>
                <w:noProof/>
                <w:webHidden/>
              </w:rPr>
              <w:fldChar w:fldCharType="separate"/>
            </w:r>
            <w:r w:rsidR="00474BA4" w:rsidRPr="00BE5372">
              <w:rPr>
                <w:rFonts w:ascii="Arial" w:hAnsi="Arial" w:cs="Arial"/>
                <w:noProof/>
                <w:webHidden/>
              </w:rPr>
              <w:t>25</w:t>
            </w:r>
            <w:r w:rsidR="00C32423" w:rsidRPr="00BE5372">
              <w:rPr>
                <w:rFonts w:ascii="Arial" w:hAnsi="Arial" w:cs="Arial"/>
                <w:noProof/>
                <w:webHidden/>
              </w:rPr>
              <w:fldChar w:fldCharType="end"/>
            </w:r>
          </w:hyperlink>
        </w:p>
        <w:p w:rsidR="00E10391" w:rsidRPr="00BE5372" w:rsidRDefault="00817593" w:rsidP="00E10391">
          <w:pPr>
            <w:pStyle w:val="TOC2"/>
            <w:tabs>
              <w:tab w:val="right" w:leader="dot" w:pos="9488"/>
            </w:tabs>
            <w:rPr>
              <w:rFonts w:ascii="Arial" w:eastAsiaTheme="minorEastAsia" w:hAnsi="Arial" w:cs="Arial"/>
              <w:noProof/>
              <w:sz w:val="22"/>
              <w:szCs w:val="22"/>
              <w:lang w:val="en-AU" w:eastAsia="en-AU"/>
            </w:rPr>
          </w:pPr>
          <w:hyperlink w:anchor="_Toc377638246" w:history="1">
            <w:r w:rsidR="00E10391" w:rsidRPr="00BE5372">
              <w:rPr>
                <w:rStyle w:val="Hyperlink"/>
                <w:rFonts w:ascii="Arial" w:hAnsi="Arial" w:cs="Arial"/>
                <w:noProof/>
              </w:rPr>
              <w:t>Domain 5: Prepare pharmaceutical products</w:t>
            </w:r>
            <w:r w:rsidR="00E10391" w:rsidRPr="00BE5372">
              <w:rPr>
                <w:rFonts w:ascii="Arial" w:hAnsi="Arial" w:cs="Arial"/>
                <w:noProof/>
                <w:webHidden/>
              </w:rPr>
              <w:tab/>
            </w:r>
            <w:r w:rsidR="00C32423" w:rsidRPr="00BE5372">
              <w:rPr>
                <w:rFonts w:ascii="Arial" w:hAnsi="Arial" w:cs="Arial"/>
                <w:noProof/>
                <w:webHidden/>
              </w:rPr>
              <w:fldChar w:fldCharType="begin"/>
            </w:r>
            <w:r w:rsidR="00E10391" w:rsidRPr="00BE5372">
              <w:rPr>
                <w:rFonts w:ascii="Arial" w:hAnsi="Arial" w:cs="Arial"/>
                <w:noProof/>
                <w:webHidden/>
              </w:rPr>
              <w:instrText xml:space="preserve"> PAGEREF _Toc377638246 \h </w:instrText>
            </w:r>
            <w:r w:rsidR="00C32423" w:rsidRPr="00BE5372">
              <w:rPr>
                <w:rFonts w:ascii="Arial" w:hAnsi="Arial" w:cs="Arial"/>
                <w:noProof/>
                <w:webHidden/>
              </w:rPr>
            </w:r>
            <w:r w:rsidR="00C32423" w:rsidRPr="00BE5372">
              <w:rPr>
                <w:rFonts w:ascii="Arial" w:hAnsi="Arial" w:cs="Arial"/>
                <w:noProof/>
                <w:webHidden/>
              </w:rPr>
              <w:fldChar w:fldCharType="separate"/>
            </w:r>
            <w:r w:rsidR="00474BA4" w:rsidRPr="00BE5372">
              <w:rPr>
                <w:rFonts w:ascii="Arial" w:hAnsi="Arial" w:cs="Arial"/>
                <w:noProof/>
                <w:webHidden/>
              </w:rPr>
              <w:t>26</w:t>
            </w:r>
            <w:r w:rsidR="00C32423" w:rsidRPr="00BE5372">
              <w:rPr>
                <w:rFonts w:ascii="Arial" w:hAnsi="Arial" w:cs="Arial"/>
                <w:noProof/>
                <w:webHidden/>
              </w:rPr>
              <w:fldChar w:fldCharType="end"/>
            </w:r>
          </w:hyperlink>
        </w:p>
        <w:p w:rsidR="00E10391" w:rsidRPr="00BE5372" w:rsidRDefault="00817593" w:rsidP="00E10391">
          <w:pPr>
            <w:pStyle w:val="TOC3"/>
            <w:tabs>
              <w:tab w:val="right" w:leader="dot" w:pos="9488"/>
            </w:tabs>
            <w:rPr>
              <w:rFonts w:ascii="Arial" w:eastAsiaTheme="minorEastAsia" w:hAnsi="Arial" w:cs="Arial"/>
              <w:noProof/>
              <w:sz w:val="22"/>
              <w:szCs w:val="22"/>
              <w:lang w:val="en-AU" w:eastAsia="en-AU"/>
            </w:rPr>
          </w:pPr>
          <w:hyperlink w:anchor="_Toc377638247" w:history="1">
            <w:r w:rsidR="00E10391" w:rsidRPr="00BE5372">
              <w:rPr>
                <w:rStyle w:val="Hyperlink"/>
                <w:rFonts w:ascii="Arial" w:hAnsi="Arial" w:cs="Arial"/>
                <w:noProof/>
              </w:rPr>
              <w:t>Standard 5.1 Consider product requirements</w:t>
            </w:r>
            <w:r w:rsidR="00E10391" w:rsidRPr="00BE5372">
              <w:rPr>
                <w:rFonts w:ascii="Arial" w:hAnsi="Arial" w:cs="Arial"/>
                <w:noProof/>
                <w:webHidden/>
              </w:rPr>
              <w:tab/>
            </w:r>
            <w:r w:rsidR="00C32423" w:rsidRPr="00BE5372">
              <w:rPr>
                <w:rFonts w:ascii="Arial" w:hAnsi="Arial" w:cs="Arial"/>
                <w:noProof/>
                <w:webHidden/>
              </w:rPr>
              <w:fldChar w:fldCharType="begin"/>
            </w:r>
            <w:r w:rsidR="00E10391" w:rsidRPr="00BE5372">
              <w:rPr>
                <w:rFonts w:ascii="Arial" w:hAnsi="Arial" w:cs="Arial"/>
                <w:noProof/>
                <w:webHidden/>
              </w:rPr>
              <w:instrText xml:space="preserve"> PAGEREF _Toc377638247 \h </w:instrText>
            </w:r>
            <w:r w:rsidR="00C32423" w:rsidRPr="00BE5372">
              <w:rPr>
                <w:rFonts w:ascii="Arial" w:hAnsi="Arial" w:cs="Arial"/>
                <w:noProof/>
                <w:webHidden/>
              </w:rPr>
            </w:r>
            <w:r w:rsidR="00C32423" w:rsidRPr="00BE5372">
              <w:rPr>
                <w:rFonts w:ascii="Arial" w:hAnsi="Arial" w:cs="Arial"/>
                <w:noProof/>
                <w:webHidden/>
              </w:rPr>
              <w:fldChar w:fldCharType="separate"/>
            </w:r>
            <w:r w:rsidR="00474BA4" w:rsidRPr="00BE5372">
              <w:rPr>
                <w:rFonts w:ascii="Arial" w:hAnsi="Arial" w:cs="Arial"/>
                <w:noProof/>
                <w:webHidden/>
              </w:rPr>
              <w:t>26</w:t>
            </w:r>
            <w:r w:rsidR="00C32423" w:rsidRPr="00BE5372">
              <w:rPr>
                <w:rFonts w:ascii="Arial" w:hAnsi="Arial" w:cs="Arial"/>
                <w:noProof/>
                <w:webHidden/>
              </w:rPr>
              <w:fldChar w:fldCharType="end"/>
            </w:r>
          </w:hyperlink>
        </w:p>
        <w:p w:rsidR="00E10391" w:rsidRPr="00BE5372" w:rsidRDefault="00817593" w:rsidP="00E10391">
          <w:pPr>
            <w:pStyle w:val="TOC3"/>
            <w:tabs>
              <w:tab w:val="right" w:leader="dot" w:pos="9488"/>
            </w:tabs>
            <w:rPr>
              <w:rFonts w:ascii="Arial" w:eastAsiaTheme="minorEastAsia" w:hAnsi="Arial" w:cs="Arial"/>
              <w:noProof/>
              <w:sz w:val="22"/>
              <w:szCs w:val="22"/>
              <w:lang w:val="en-AU" w:eastAsia="en-AU"/>
            </w:rPr>
          </w:pPr>
          <w:hyperlink w:anchor="_Toc377638248" w:history="1">
            <w:r w:rsidR="00E10391" w:rsidRPr="00BE5372">
              <w:rPr>
                <w:rStyle w:val="Hyperlink"/>
                <w:rFonts w:ascii="Arial" w:hAnsi="Arial" w:cs="Arial"/>
                <w:noProof/>
              </w:rPr>
              <w:t>Standard 5.2 Prepare non-sterile drug products</w:t>
            </w:r>
            <w:r w:rsidR="00E10391" w:rsidRPr="00BE5372">
              <w:rPr>
                <w:rFonts w:ascii="Arial" w:hAnsi="Arial" w:cs="Arial"/>
                <w:noProof/>
                <w:webHidden/>
              </w:rPr>
              <w:tab/>
            </w:r>
            <w:r w:rsidR="00C32423" w:rsidRPr="00BE5372">
              <w:rPr>
                <w:rFonts w:ascii="Arial" w:hAnsi="Arial" w:cs="Arial"/>
                <w:noProof/>
                <w:webHidden/>
              </w:rPr>
              <w:fldChar w:fldCharType="begin"/>
            </w:r>
            <w:r w:rsidR="00E10391" w:rsidRPr="00BE5372">
              <w:rPr>
                <w:rFonts w:ascii="Arial" w:hAnsi="Arial" w:cs="Arial"/>
                <w:noProof/>
                <w:webHidden/>
              </w:rPr>
              <w:instrText xml:space="preserve"> PAGEREF _Toc377638248 \h </w:instrText>
            </w:r>
            <w:r w:rsidR="00C32423" w:rsidRPr="00BE5372">
              <w:rPr>
                <w:rFonts w:ascii="Arial" w:hAnsi="Arial" w:cs="Arial"/>
                <w:noProof/>
                <w:webHidden/>
              </w:rPr>
            </w:r>
            <w:r w:rsidR="00C32423" w:rsidRPr="00BE5372">
              <w:rPr>
                <w:rFonts w:ascii="Arial" w:hAnsi="Arial" w:cs="Arial"/>
                <w:noProof/>
                <w:webHidden/>
              </w:rPr>
              <w:fldChar w:fldCharType="separate"/>
            </w:r>
            <w:r w:rsidR="00474BA4" w:rsidRPr="00BE5372">
              <w:rPr>
                <w:rFonts w:ascii="Arial" w:hAnsi="Arial" w:cs="Arial"/>
                <w:noProof/>
                <w:webHidden/>
              </w:rPr>
              <w:t>32</w:t>
            </w:r>
            <w:r w:rsidR="00C32423" w:rsidRPr="00BE5372">
              <w:rPr>
                <w:rFonts w:ascii="Arial" w:hAnsi="Arial" w:cs="Arial"/>
                <w:noProof/>
                <w:webHidden/>
              </w:rPr>
              <w:fldChar w:fldCharType="end"/>
            </w:r>
          </w:hyperlink>
        </w:p>
        <w:p w:rsidR="00E10391" w:rsidRPr="00BE5372" w:rsidRDefault="00817593" w:rsidP="00E10391">
          <w:pPr>
            <w:pStyle w:val="TOC3"/>
            <w:tabs>
              <w:tab w:val="right" w:leader="dot" w:pos="9488"/>
            </w:tabs>
            <w:rPr>
              <w:rFonts w:ascii="Arial" w:eastAsiaTheme="minorEastAsia" w:hAnsi="Arial" w:cs="Arial"/>
              <w:noProof/>
              <w:sz w:val="22"/>
              <w:szCs w:val="22"/>
              <w:lang w:val="en-AU" w:eastAsia="en-AU"/>
            </w:rPr>
          </w:pPr>
          <w:hyperlink w:anchor="_Toc377638249" w:history="1">
            <w:r w:rsidR="00E10391" w:rsidRPr="00BE5372">
              <w:rPr>
                <w:rStyle w:val="Hyperlink"/>
                <w:rFonts w:ascii="Arial" w:hAnsi="Arial" w:cs="Arial"/>
                <w:noProof/>
              </w:rPr>
              <w:t>Standard 5.3 Aseptically prepare sterile drug products</w:t>
            </w:r>
            <w:r w:rsidR="00E10391" w:rsidRPr="00BE5372">
              <w:rPr>
                <w:rFonts w:ascii="Arial" w:hAnsi="Arial" w:cs="Arial"/>
                <w:noProof/>
                <w:webHidden/>
              </w:rPr>
              <w:tab/>
            </w:r>
            <w:r w:rsidR="00C32423" w:rsidRPr="00BE5372">
              <w:rPr>
                <w:rFonts w:ascii="Arial" w:hAnsi="Arial" w:cs="Arial"/>
                <w:noProof/>
                <w:webHidden/>
              </w:rPr>
              <w:fldChar w:fldCharType="begin"/>
            </w:r>
            <w:r w:rsidR="00E10391" w:rsidRPr="00BE5372">
              <w:rPr>
                <w:rFonts w:ascii="Arial" w:hAnsi="Arial" w:cs="Arial"/>
                <w:noProof/>
                <w:webHidden/>
              </w:rPr>
              <w:instrText xml:space="preserve"> PAGEREF _Toc377638249 \h </w:instrText>
            </w:r>
            <w:r w:rsidR="00C32423" w:rsidRPr="00BE5372">
              <w:rPr>
                <w:rFonts w:ascii="Arial" w:hAnsi="Arial" w:cs="Arial"/>
                <w:noProof/>
                <w:webHidden/>
              </w:rPr>
            </w:r>
            <w:r w:rsidR="00C32423" w:rsidRPr="00BE5372">
              <w:rPr>
                <w:rFonts w:ascii="Arial" w:hAnsi="Arial" w:cs="Arial"/>
                <w:noProof/>
                <w:webHidden/>
              </w:rPr>
              <w:fldChar w:fldCharType="separate"/>
            </w:r>
            <w:r w:rsidR="00474BA4" w:rsidRPr="00BE5372">
              <w:rPr>
                <w:rFonts w:ascii="Arial" w:hAnsi="Arial" w:cs="Arial"/>
                <w:noProof/>
                <w:webHidden/>
              </w:rPr>
              <w:t>34</w:t>
            </w:r>
            <w:r w:rsidR="00C32423" w:rsidRPr="00BE5372">
              <w:rPr>
                <w:rFonts w:ascii="Arial" w:hAnsi="Arial" w:cs="Arial"/>
                <w:noProof/>
                <w:webHidden/>
              </w:rPr>
              <w:fldChar w:fldCharType="end"/>
            </w:r>
          </w:hyperlink>
        </w:p>
        <w:p w:rsidR="00E10391" w:rsidRPr="00BE5372" w:rsidRDefault="00817593" w:rsidP="00E10391">
          <w:pPr>
            <w:pStyle w:val="TOC3"/>
            <w:tabs>
              <w:tab w:val="right" w:leader="dot" w:pos="9488"/>
            </w:tabs>
            <w:rPr>
              <w:rFonts w:ascii="Arial" w:eastAsiaTheme="minorEastAsia" w:hAnsi="Arial" w:cs="Arial"/>
              <w:noProof/>
              <w:sz w:val="22"/>
              <w:szCs w:val="22"/>
              <w:lang w:val="en-AU" w:eastAsia="en-AU"/>
            </w:rPr>
          </w:pPr>
          <w:hyperlink w:anchor="_Toc377638250" w:history="1">
            <w:r w:rsidR="00E10391" w:rsidRPr="00BE5372">
              <w:rPr>
                <w:rStyle w:val="Hyperlink"/>
                <w:rFonts w:ascii="Arial" w:hAnsi="Arial" w:cs="Arial"/>
                <w:noProof/>
              </w:rPr>
              <w:t>Standard 5.4 Prepare cytotoxic drug products</w:t>
            </w:r>
            <w:r w:rsidR="00E10391" w:rsidRPr="00BE5372">
              <w:rPr>
                <w:rFonts w:ascii="Arial" w:hAnsi="Arial" w:cs="Arial"/>
                <w:noProof/>
                <w:webHidden/>
              </w:rPr>
              <w:tab/>
            </w:r>
            <w:r w:rsidR="00C32423" w:rsidRPr="00BE5372">
              <w:rPr>
                <w:rFonts w:ascii="Arial" w:hAnsi="Arial" w:cs="Arial"/>
                <w:noProof/>
                <w:webHidden/>
              </w:rPr>
              <w:fldChar w:fldCharType="begin"/>
            </w:r>
            <w:r w:rsidR="00E10391" w:rsidRPr="00BE5372">
              <w:rPr>
                <w:rFonts w:ascii="Arial" w:hAnsi="Arial" w:cs="Arial"/>
                <w:noProof/>
                <w:webHidden/>
              </w:rPr>
              <w:instrText xml:space="preserve"> PAGEREF _Toc377638250 \h </w:instrText>
            </w:r>
            <w:r w:rsidR="00C32423" w:rsidRPr="00BE5372">
              <w:rPr>
                <w:rFonts w:ascii="Arial" w:hAnsi="Arial" w:cs="Arial"/>
                <w:noProof/>
                <w:webHidden/>
              </w:rPr>
            </w:r>
            <w:r w:rsidR="00C32423" w:rsidRPr="00BE5372">
              <w:rPr>
                <w:rFonts w:ascii="Arial" w:hAnsi="Arial" w:cs="Arial"/>
                <w:noProof/>
                <w:webHidden/>
              </w:rPr>
              <w:fldChar w:fldCharType="separate"/>
            </w:r>
            <w:r w:rsidR="00474BA4" w:rsidRPr="00BE5372">
              <w:rPr>
                <w:rFonts w:ascii="Arial" w:hAnsi="Arial" w:cs="Arial"/>
                <w:noProof/>
                <w:webHidden/>
              </w:rPr>
              <w:t>35</w:t>
            </w:r>
            <w:r w:rsidR="00C32423" w:rsidRPr="00BE5372">
              <w:rPr>
                <w:rFonts w:ascii="Arial" w:hAnsi="Arial" w:cs="Arial"/>
                <w:noProof/>
                <w:webHidden/>
              </w:rPr>
              <w:fldChar w:fldCharType="end"/>
            </w:r>
          </w:hyperlink>
        </w:p>
        <w:p w:rsidR="00E10391" w:rsidRPr="00BE5372" w:rsidRDefault="00817593" w:rsidP="00E10391">
          <w:pPr>
            <w:pStyle w:val="TOC2"/>
            <w:tabs>
              <w:tab w:val="right" w:leader="dot" w:pos="9488"/>
            </w:tabs>
            <w:rPr>
              <w:rFonts w:ascii="Arial" w:eastAsiaTheme="minorEastAsia" w:hAnsi="Arial" w:cs="Arial"/>
              <w:noProof/>
              <w:sz w:val="22"/>
              <w:szCs w:val="22"/>
              <w:lang w:val="en-AU" w:eastAsia="en-AU"/>
            </w:rPr>
          </w:pPr>
          <w:hyperlink w:anchor="_Toc377638251" w:history="1">
            <w:r w:rsidR="00E10391" w:rsidRPr="00BE5372">
              <w:rPr>
                <w:rStyle w:val="Hyperlink"/>
                <w:rFonts w:ascii="Arial" w:hAnsi="Arial" w:cs="Arial"/>
                <w:noProof/>
              </w:rPr>
              <w:t>Domain 6: Deliver primary and preventive health care</w:t>
            </w:r>
            <w:r w:rsidR="00E10391" w:rsidRPr="00BE5372">
              <w:rPr>
                <w:rFonts w:ascii="Arial" w:hAnsi="Arial" w:cs="Arial"/>
                <w:noProof/>
                <w:webHidden/>
              </w:rPr>
              <w:tab/>
            </w:r>
            <w:r w:rsidR="00C32423" w:rsidRPr="00BE5372">
              <w:rPr>
                <w:rFonts w:ascii="Arial" w:hAnsi="Arial" w:cs="Arial"/>
                <w:noProof/>
                <w:webHidden/>
              </w:rPr>
              <w:fldChar w:fldCharType="begin"/>
            </w:r>
            <w:r w:rsidR="00E10391" w:rsidRPr="00BE5372">
              <w:rPr>
                <w:rFonts w:ascii="Arial" w:hAnsi="Arial" w:cs="Arial"/>
                <w:noProof/>
                <w:webHidden/>
              </w:rPr>
              <w:instrText xml:space="preserve"> PAGEREF _Toc377638251 \h </w:instrText>
            </w:r>
            <w:r w:rsidR="00C32423" w:rsidRPr="00BE5372">
              <w:rPr>
                <w:rFonts w:ascii="Arial" w:hAnsi="Arial" w:cs="Arial"/>
                <w:noProof/>
                <w:webHidden/>
              </w:rPr>
            </w:r>
            <w:r w:rsidR="00C32423" w:rsidRPr="00BE5372">
              <w:rPr>
                <w:rFonts w:ascii="Arial" w:hAnsi="Arial" w:cs="Arial"/>
                <w:noProof/>
                <w:webHidden/>
              </w:rPr>
              <w:fldChar w:fldCharType="separate"/>
            </w:r>
            <w:r w:rsidR="00474BA4" w:rsidRPr="00BE5372">
              <w:rPr>
                <w:rFonts w:ascii="Arial" w:hAnsi="Arial" w:cs="Arial"/>
                <w:noProof/>
                <w:webHidden/>
              </w:rPr>
              <w:t>36</w:t>
            </w:r>
            <w:r w:rsidR="00C32423" w:rsidRPr="00BE5372">
              <w:rPr>
                <w:rFonts w:ascii="Arial" w:hAnsi="Arial" w:cs="Arial"/>
                <w:noProof/>
                <w:webHidden/>
              </w:rPr>
              <w:fldChar w:fldCharType="end"/>
            </w:r>
          </w:hyperlink>
        </w:p>
        <w:p w:rsidR="00E10391" w:rsidRPr="00BE5372" w:rsidRDefault="00817593" w:rsidP="00E10391">
          <w:pPr>
            <w:pStyle w:val="TOC3"/>
            <w:tabs>
              <w:tab w:val="right" w:leader="dot" w:pos="9488"/>
            </w:tabs>
            <w:rPr>
              <w:rFonts w:ascii="Arial" w:eastAsiaTheme="minorEastAsia" w:hAnsi="Arial" w:cs="Arial"/>
              <w:noProof/>
              <w:sz w:val="22"/>
              <w:szCs w:val="22"/>
              <w:lang w:val="en-AU" w:eastAsia="en-AU"/>
            </w:rPr>
          </w:pPr>
          <w:hyperlink w:anchor="_Toc377638252" w:history="1">
            <w:r w:rsidR="00E10391" w:rsidRPr="00BE5372">
              <w:rPr>
                <w:rStyle w:val="Hyperlink"/>
                <w:rFonts w:ascii="Arial" w:hAnsi="Arial" w:cs="Arial"/>
                <w:noProof/>
              </w:rPr>
              <w:t>Standard 6.1 Assess primary health care needs</w:t>
            </w:r>
            <w:r w:rsidR="00E10391" w:rsidRPr="00BE5372">
              <w:rPr>
                <w:rFonts w:ascii="Arial" w:hAnsi="Arial" w:cs="Arial"/>
                <w:noProof/>
                <w:webHidden/>
              </w:rPr>
              <w:tab/>
            </w:r>
            <w:r w:rsidR="00C32423" w:rsidRPr="00BE5372">
              <w:rPr>
                <w:rFonts w:ascii="Arial" w:hAnsi="Arial" w:cs="Arial"/>
                <w:noProof/>
                <w:webHidden/>
              </w:rPr>
              <w:fldChar w:fldCharType="begin"/>
            </w:r>
            <w:r w:rsidR="00E10391" w:rsidRPr="00BE5372">
              <w:rPr>
                <w:rFonts w:ascii="Arial" w:hAnsi="Arial" w:cs="Arial"/>
                <w:noProof/>
                <w:webHidden/>
              </w:rPr>
              <w:instrText xml:space="preserve"> PAGEREF _Toc377638252 \h </w:instrText>
            </w:r>
            <w:r w:rsidR="00C32423" w:rsidRPr="00BE5372">
              <w:rPr>
                <w:rFonts w:ascii="Arial" w:hAnsi="Arial" w:cs="Arial"/>
                <w:noProof/>
                <w:webHidden/>
              </w:rPr>
            </w:r>
            <w:r w:rsidR="00C32423" w:rsidRPr="00BE5372">
              <w:rPr>
                <w:rFonts w:ascii="Arial" w:hAnsi="Arial" w:cs="Arial"/>
                <w:noProof/>
                <w:webHidden/>
              </w:rPr>
              <w:fldChar w:fldCharType="separate"/>
            </w:r>
            <w:r w:rsidR="00474BA4" w:rsidRPr="00BE5372">
              <w:rPr>
                <w:rFonts w:ascii="Arial" w:hAnsi="Arial" w:cs="Arial"/>
                <w:noProof/>
                <w:webHidden/>
              </w:rPr>
              <w:t>36</w:t>
            </w:r>
            <w:r w:rsidR="00C32423" w:rsidRPr="00BE5372">
              <w:rPr>
                <w:rFonts w:ascii="Arial" w:hAnsi="Arial" w:cs="Arial"/>
                <w:noProof/>
                <w:webHidden/>
              </w:rPr>
              <w:fldChar w:fldCharType="end"/>
            </w:r>
          </w:hyperlink>
        </w:p>
        <w:p w:rsidR="00E10391" w:rsidRPr="00BE5372" w:rsidRDefault="00817593" w:rsidP="00E10391">
          <w:pPr>
            <w:pStyle w:val="TOC3"/>
            <w:tabs>
              <w:tab w:val="right" w:leader="dot" w:pos="9488"/>
            </w:tabs>
            <w:rPr>
              <w:rFonts w:ascii="Arial" w:eastAsiaTheme="minorEastAsia" w:hAnsi="Arial" w:cs="Arial"/>
              <w:noProof/>
              <w:sz w:val="22"/>
              <w:szCs w:val="22"/>
              <w:lang w:val="en-AU" w:eastAsia="en-AU"/>
            </w:rPr>
          </w:pPr>
          <w:hyperlink w:anchor="_Toc377638253" w:history="1">
            <w:r w:rsidR="00E10391" w:rsidRPr="00BE5372">
              <w:rPr>
                <w:rStyle w:val="Hyperlink"/>
                <w:rFonts w:ascii="Arial" w:hAnsi="Arial" w:cs="Arial"/>
                <w:noProof/>
              </w:rPr>
              <w:t>Standard 6.2 Deliver primary health care</w:t>
            </w:r>
            <w:r w:rsidR="00E10391" w:rsidRPr="00BE5372">
              <w:rPr>
                <w:rFonts w:ascii="Arial" w:hAnsi="Arial" w:cs="Arial"/>
                <w:noProof/>
                <w:webHidden/>
              </w:rPr>
              <w:tab/>
            </w:r>
            <w:r w:rsidR="00C32423" w:rsidRPr="00BE5372">
              <w:rPr>
                <w:rFonts w:ascii="Arial" w:hAnsi="Arial" w:cs="Arial"/>
                <w:noProof/>
                <w:webHidden/>
              </w:rPr>
              <w:fldChar w:fldCharType="begin"/>
            </w:r>
            <w:r w:rsidR="00E10391" w:rsidRPr="00BE5372">
              <w:rPr>
                <w:rFonts w:ascii="Arial" w:hAnsi="Arial" w:cs="Arial"/>
                <w:noProof/>
                <w:webHidden/>
              </w:rPr>
              <w:instrText xml:space="preserve"> PAGEREF _Toc377638253 \h </w:instrText>
            </w:r>
            <w:r w:rsidR="00C32423" w:rsidRPr="00BE5372">
              <w:rPr>
                <w:rFonts w:ascii="Arial" w:hAnsi="Arial" w:cs="Arial"/>
                <w:noProof/>
                <w:webHidden/>
              </w:rPr>
            </w:r>
            <w:r w:rsidR="00C32423" w:rsidRPr="00BE5372">
              <w:rPr>
                <w:rFonts w:ascii="Arial" w:hAnsi="Arial" w:cs="Arial"/>
                <w:noProof/>
                <w:webHidden/>
              </w:rPr>
              <w:fldChar w:fldCharType="separate"/>
            </w:r>
            <w:r w:rsidR="00474BA4" w:rsidRPr="00BE5372">
              <w:rPr>
                <w:rFonts w:ascii="Arial" w:hAnsi="Arial" w:cs="Arial"/>
                <w:noProof/>
                <w:webHidden/>
              </w:rPr>
              <w:t>38</w:t>
            </w:r>
            <w:r w:rsidR="00C32423" w:rsidRPr="00BE5372">
              <w:rPr>
                <w:rFonts w:ascii="Arial" w:hAnsi="Arial" w:cs="Arial"/>
                <w:noProof/>
                <w:webHidden/>
              </w:rPr>
              <w:fldChar w:fldCharType="end"/>
            </w:r>
          </w:hyperlink>
        </w:p>
        <w:p w:rsidR="00E10391" w:rsidRPr="00BE5372" w:rsidRDefault="00817593" w:rsidP="00E10391">
          <w:pPr>
            <w:pStyle w:val="TOC3"/>
            <w:tabs>
              <w:tab w:val="right" w:leader="dot" w:pos="9488"/>
            </w:tabs>
            <w:rPr>
              <w:rFonts w:ascii="Arial" w:eastAsiaTheme="minorEastAsia" w:hAnsi="Arial" w:cs="Arial"/>
              <w:noProof/>
              <w:sz w:val="22"/>
              <w:szCs w:val="22"/>
              <w:lang w:val="en-AU" w:eastAsia="en-AU"/>
            </w:rPr>
          </w:pPr>
          <w:hyperlink w:anchor="_Toc377638254" w:history="1">
            <w:r w:rsidR="00E10391" w:rsidRPr="00BE5372">
              <w:rPr>
                <w:rStyle w:val="Hyperlink"/>
                <w:rFonts w:ascii="Arial" w:hAnsi="Arial" w:cs="Arial"/>
                <w:noProof/>
              </w:rPr>
              <w:t>Standard 6.3  Contribute to public and preventive health</w:t>
            </w:r>
            <w:r w:rsidR="00E10391" w:rsidRPr="00BE5372">
              <w:rPr>
                <w:rFonts w:ascii="Arial" w:hAnsi="Arial" w:cs="Arial"/>
                <w:noProof/>
                <w:webHidden/>
              </w:rPr>
              <w:tab/>
            </w:r>
            <w:r w:rsidR="00C32423" w:rsidRPr="00BE5372">
              <w:rPr>
                <w:rFonts w:ascii="Arial" w:hAnsi="Arial" w:cs="Arial"/>
                <w:noProof/>
                <w:webHidden/>
              </w:rPr>
              <w:fldChar w:fldCharType="begin"/>
            </w:r>
            <w:r w:rsidR="00E10391" w:rsidRPr="00BE5372">
              <w:rPr>
                <w:rFonts w:ascii="Arial" w:hAnsi="Arial" w:cs="Arial"/>
                <w:noProof/>
                <w:webHidden/>
              </w:rPr>
              <w:instrText xml:space="preserve"> PAGEREF _Toc377638254 \h </w:instrText>
            </w:r>
            <w:r w:rsidR="00C32423" w:rsidRPr="00BE5372">
              <w:rPr>
                <w:rFonts w:ascii="Arial" w:hAnsi="Arial" w:cs="Arial"/>
                <w:noProof/>
                <w:webHidden/>
              </w:rPr>
            </w:r>
            <w:r w:rsidR="00C32423" w:rsidRPr="00BE5372">
              <w:rPr>
                <w:rFonts w:ascii="Arial" w:hAnsi="Arial" w:cs="Arial"/>
                <w:noProof/>
                <w:webHidden/>
              </w:rPr>
              <w:fldChar w:fldCharType="separate"/>
            </w:r>
            <w:r w:rsidR="00474BA4" w:rsidRPr="00BE5372">
              <w:rPr>
                <w:rFonts w:ascii="Arial" w:hAnsi="Arial" w:cs="Arial"/>
                <w:noProof/>
                <w:webHidden/>
              </w:rPr>
              <w:t>40</w:t>
            </w:r>
            <w:r w:rsidR="00C32423" w:rsidRPr="00BE5372">
              <w:rPr>
                <w:rFonts w:ascii="Arial" w:hAnsi="Arial" w:cs="Arial"/>
                <w:noProof/>
                <w:webHidden/>
              </w:rPr>
              <w:fldChar w:fldCharType="end"/>
            </w:r>
          </w:hyperlink>
        </w:p>
        <w:p w:rsidR="00E10391" w:rsidRPr="00BE5372" w:rsidRDefault="00817593" w:rsidP="00E10391">
          <w:pPr>
            <w:pStyle w:val="TOC2"/>
            <w:tabs>
              <w:tab w:val="right" w:leader="dot" w:pos="9488"/>
            </w:tabs>
            <w:rPr>
              <w:rFonts w:ascii="Arial" w:eastAsiaTheme="minorEastAsia" w:hAnsi="Arial" w:cs="Arial"/>
              <w:noProof/>
              <w:sz w:val="22"/>
              <w:szCs w:val="22"/>
              <w:lang w:val="en-AU" w:eastAsia="en-AU"/>
            </w:rPr>
          </w:pPr>
          <w:hyperlink w:anchor="_Toc377638255" w:history="1">
            <w:r w:rsidR="00E10391" w:rsidRPr="00BE5372">
              <w:rPr>
                <w:rStyle w:val="Hyperlink"/>
                <w:rFonts w:ascii="Arial" w:hAnsi="Arial" w:cs="Arial"/>
                <w:noProof/>
              </w:rPr>
              <w:t>Domain 8: Critical analysis, research and education</w:t>
            </w:r>
            <w:r w:rsidR="00E10391" w:rsidRPr="00BE5372">
              <w:rPr>
                <w:rFonts w:ascii="Arial" w:hAnsi="Arial" w:cs="Arial"/>
                <w:noProof/>
                <w:webHidden/>
              </w:rPr>
              <w:tab/>
            </w:r>
            <w:r w:rsidR="00C32423" w:rsidRPr="00BE5372">
              <w:rPr>
                <w:rFonts w:ascii="Arial" w:hAnsi="Arial" w:cs="Arial"/>
                <w:noProof/>
                <w:webHidden/>
              </w:rPr>
              <w:fldChar w:fldCharType="begin"/>
            </w:r>
            <w:r w:rsidR="00E10391" w:rsidRPr="00BE5372">
              <w:rPr>
                <w:rFonts w:ascii="Arial" w:hAnsi="Arial" w:cs="Arial"/>
                <w:noProof/>
                <w:webHidden/>
              </w:rPr>
              <w:instrText xml:space="preserve"> PAGEREF _Toc377638255 \h </w:instrText>
            </w:r>
            <w:r w:rsidR="00C32423" w:rsidRPr="00BE5372">
              <w:rPr>
                <w:rFonts w:ascii="Arial" w:hAnsi="Arial" w:cs="Arial"/>
                <w:noProof/>
                <w:webHidden/>
              </w:rPr>
            </w:r>
            <w:r w:rsidR="00C32423" w:rsidRPr="00BE5372">
              <w:rPr>
                <w:rFonts w:ascii="Arial" w:hAnsi="Arial" w:cs="Arial"/>
                <w:noProof/>
                <w:webHidden/>
              </w:rPr>
              <w:fldChar w:fldCharType="separate"/>
            </w:r>
            <w:r w:rsidR="00474BA4" w:rsidRPr="00BE5372">
              <w:rPr>
                <w:rFonts w:ascii="Arial" w:hAnsi="Arial" w:cs="Arial"/>
                <w:noProof/>
                <w:webHidden/>
              </w:rPr>
              <w:t>40</w:t>
            </w:r>
            <w:r w:rsidR="00C32423" w:rsidRPr="00BE5372">
              <w:rPr>
                <w:rFonts w:ascii="Arial" w:hAnsi="Arial" w:cs="Arial"/>
                <w:noProof/>
                <w:webHidden/>
              </w:rPr>
              <w:fldChar w:fldCharType="end"/>
            </w:r>
          </w:hyperlink>
        </w:p>
        <w:p w:rsidR="00E10391" w:rsidRPr="00BE5372" w:rsidRDefault="00817593" w:rsidP="00E10391">
          <w:pPr>
            <w:pStyle w:val="TOC3"/>
            <w:tabs>
              <w:tab w:val="right" w:leader="dot" w:pos="9488"/>
            </w:tabs>
            <w:rPr>
              <w:rFonts w:ascii="Arial" w:eastAsiaTheme="minorEastAsia" w:hAnsi="Arial" w:cs="Arial"/>
              <w:noProof/>
              <w:sz w:val="22"/>
              <w:szCs w:val="22"/>
              <w:lang w:val="en-AU" w:eastAsia="en-AU"/>
            </w:rPr>
          </w:pPr>
          <w:hyperlink w:anchor="_Toc377638256" w:history="1">
            <w:r w:rsidR="00E10391" w:rsidRPr="00BE5372">
              <w:rPr>
                <w:rStyle w:val="Hyperlink"/>
                <w:rFonts w:ascii="Arial" w:hAnsi="Arial" w:cs="Arial"/>
                <w:noProof/>
              </w:rPr>
              <w:t>Standard 8.1 Retrieve, analyse and synthesise information</w:t>
            </w:r>
            <w:r w:rsidR="00E10391" w:rsidRPr="00BE5372">
              <w:rPr>
                <w:rFonts w:ascii="Arial" w:hAnsi="Arial" w:cs="Arial"/>
                <w:noProof/>
                <w:webHidden/>
              </w:rPr>
              <w:tab/>
            </w:r>
            <w:r w:rsidR="00C32423" w:rsidRPr="00BE5372">
              <w:rPr>
                <w:rFonts w:ascii="Arial" w:hAnsi="Arial" w:cs="Arial"/>
                <w:noProof/>
                <w:webHidden/>
              </w:rPr>
              <w:fldChar w:fldCharType="begin"/>
            </w:r>
            <w:r w:rsidR="00E10391" w:rsidRPr="00BE5372">
              <w:rPr>
                <w:rFonts w:ascii="Arial" w:hAnsi="Arial" w:cs="Arial"/>
                <w:noProof/>
                <w:webHidden/>
              </w:rPr>
              <w:instrText xml:space="preserve"> PAGEREF _Toc377638256 \h </w:instrText>
            </w:r>
            <w:r w:rsidR="00C32423" w:rsidRPr="00BE5372">
              <w:rPr>
                <w:rFonts w:ascii="Arial" w:hAnsi="Arial" w:cs="Arial"/>
                <w:noProof/>
                <w:webHidden/>
              </w:rPr>
            </w:r>
            <w:r w:rsidR="00C32423" w:rsidRPr="00BE5372">
              <w:rPr>
                <w:rFonts w:ascii="Arial" w:hAnsi="Arial" w:cs="Arial"/>
                <w:noProof/>
                <w:webHidden/>
              </w:rPr>
              <w:fldChar w:fldCharType="separate"/>
            </w:r>
            <w:r w:rsidR="00474BA4" w:rsidRPr="00BE5372">
              <w:rPr>
                <w:rFonts w:ascii="Arial" w:hAnsi="Arial" w:cs="Arial"/>
                <w:noProof/>
                <w:webHidden/>
              </w:rPr>
              <w:t>40</w:t>
            </w:r>
            <w:r w:rsidR="00C32423" w:rsidRPr="00BE5372">
              <w:rPr>
                <w:rFonts w:ascii="Arial" w:hAnsi="Arial" w:cs="Arial"/>
                <w:noProof/>
                <w:webHidden/>
              </w:rPr>
              <w:fldChar w:fldCharType="end"/>
            </w:r>
          </w:hyperlink>
        </w:p>
        <w:p w:rsidR="00E10391" w:rsidRDefault="00817593" w:rsidP="00E10391">
          <w:pPr>
            <w:pStyle w:val="TOC3"/>
            <w:tabs>
              <w:tab w:val="right" w:leader="dot" w:pos="9488"/>
            </w:tabs>
            <w:rPr>
              <w:rFonts w:asciiTheme="minorHAnsi" w:eastAsiaTheme="minorEastAsia" w:hAnsiTheme="minorHAnsi" w:cstheme="minorBidi"/>
              <w:noProof/>
              <w:sz w:val="22"/>
              <w:szCs w:val="22"/>
              <w:lang w:val="en-AU" w:eastAsia="en-AU"/>
            </w:rPr>
          </w:pPr>
          <w:hyperlink w:anchor="_Toc377638257" w:history="1">
            <w:r w:rsidR="00E10391" w:rsidRPr="00BE5372">
              <w:rPr>
                <w:rStyle w:val="Hyperlink"/>
                <w:rFonts w:ascii="Arial" w:hAnsi="Arial" w:cs="Arial"/>
                <w:noProof/>
              </w:rPr>
              <w:t>Standard 8.2 Engage in health, medicines and pharmacy practice research</w:t>
            </w:r>
            <w:r w:rsidR="00E10391" w:rsidRPr="00BE5372">
              <w:rPr>
                <w:rFonts w:ascii="Arial" w:hAnsi="Arial" w:cs="Arial"/>
                <w:noProof/>
                <w:webHidden/>
              </w:rPr>
              <w:tab/>
            </w:r>
            <w:r w:rsidR="00C32423" w:rsidRPr="00BE5372">
              <w:rPr>
                <w:rFonts w:ascii="Arial" w:hAnsi="Arial" w:cs="Arial"/>
                <w:noProof/>
                <w:webHidden/>
              </w:rPr>
              <w:fldChar w:fldCharType="begin"/>
            </w:r>
            <w:r w:rsidR="00E10391" w:rsidRPr="00BE5372">
              <w:rPr>
                <w:rFonts w:ascii="Arial" w:hAnsi="Arial" w:cs="Arial"/>
                <w:noProof/>
                <w:webHidden/>
              </w:rPr>
              <w:instrText xml:space="preserve"> PAGEREF _Toc377638257 \h </w:instrText>
            </w:r>
            <w:r w:rsidR="00C32423" w:rsidRPr="00BE5372">
              <w:rPr>
                <w:rFonts w:ascii="Arial" w:hAnsi="Arial" w:cs="Arial"/>
                <w:noProof/>
                <w:webHidden/>
              </w:rPr>
            </w:r>
            <w:r w:rsidR="00C32423" w:rsidRPr="00BE5372">
              <w:rPr>
                <w:rFonts w:ascii="Arial" w:hAnsi="Arial" w:cs="Arial"/>
                <w:noProof/>
                <w:webHidden/>
              </w:rPr>
              <w:fldChar w:fldCharType="separate"/>
            </w:r>
            <w:r w:rsidR="00474BA4" w:rsidRPr="00BE5372">
              <w:rPr>
                <w:rFonts w:ascii="Arial" w:hAnsi="Arial" w:cs="Arial"/>
                <w:noProof/>
                <w:webHidden/>
              </w:rPr>
              <w:t>43</w:t>
            </w:r>
            <w:r w:rsidR="00C32423" w:rsidRPr="00BE5372">
              <w:rPr>
                <w:rFonts w:ascii="Arial" w:hAnsi="Arial" w:cs="Arial"/>
                <w:noProof/>
                <w:webHidden/>
              </w:rPr>
              <w:fldChar w:fldCharType="end"/>
            </w:r>
          </w:hyperlink>
        </w:p>
        <w:p w:rsidR="00E10391" w:rsidRPr="00466D4E" w:rsidRDefault="00C32423" w:rsidP="00E10391">
          <w:pPr>
            <w:rPr>
              <w:rFonts w:ascii="Arial" w:hAnsi="Arial" w:cs="Arial"/>
              <w:sz w:val="22"/>
              <w:szCs w:val="22"/>
            </w:rPr>
          </w:pPr>
          <w:r w:rsidRPr="00466D4E">
            <w:rPr>
              <w:rFonts w:ascii="Arial" w:hAnsi="Arial" w:cs="Arial"/>
              <w:sz w:val="22"/>
              <w:szCs w:val="22"/>
            </w:rPr>
            <w:fldChar w:fldCharType="end"/>
          </w:r>
        </w:p>
      </w:sdtContent>
    </w:sdt>
    <w:p w:rsidR="00E10391" w:rsidRDefault="00E10391" w:rsidP="00E10391">
      <w:pPr>
        <w:spacing w:line="276" w:lineRule="auto"/>
        <w:rPr>
          <w:rFonts w:ascii="Arial" w:hAnsi="Arial" w:cs="Arial"/>
          <w:b/>
        </w:rPr>
      </w:pPr>
      <w:r>
        <w:rPr>
          <w:rFonts w:ascii="Arial" w:hAnsi="Arial" w:cs="Arial"/>
          <w:b/>
        </w:rPr>
        <w:br w:type="page"/>
      </w:r>
    </w:p>
    <w:p w:rsidR="00E10391" w:rsidRPr="00070CEE" w:rsidRDefault="00E10391" w:rsidP="00E10391">
      <w:pPr>
        <w:pStyle w:val="Heading1"/>
        <w:rPr>
          <w:sz w:val="20"/>
          <w:szCs w:val="20"/>
        </w:rPr>
      </w:pPr>
      <w:bookmarkStart w:id="1" w:name="_Toc377638223"/>
      <w:r w:rsidRPr="00070CEE">
        <w:rPr>
          <w:rFonts w:ascii="Arial" w:hAnsi="Arial" w:cs="Arial"/>
          <w:sz w:val="20"/>
          <w:szCs w:val="20"/>
        </w:rPr>
        <w:lastRenderedPageBreak/>
        <w:t>Introduction</w:t>
      </w:r>
      <w:bookmarkEnd w:id="1"/>
    </w:p>
    <w:p w:rsidR="00E10391" w:rsidRPr="00110A14" w:rsidRDefault="00E10391" w:rsidP="00110A14">
      <w:pPr>
        <w:pStyle w:val="AHPRANumberedlistlevel1"/>
        <w:spacing w:after="200"/>
      </w:pPr>
      <w:r w:rsidRPr="00110A14">
        <w:t xml:space="preserve">This professional practice profile has been developed </w:t>
      </w:r>
      <w:r w:rsidR="00384432" w:rsidRPr="00110A14">
        <w:t>by the Pharmacy Board of Australia (the Board)</w:t>
      </w:r>
      <w:r w:rsidR="00384432">
        <w:t xml:space="preserve"> </w:t>
      </w:r>
      <w:r w:rsidRPr="00110A14">
        <w:t xml:space="preserve">on behalf of the pharmacy profession. </w:t>
      </w:r>
      <w:r w:rsidR="00AE4D4C">
        <w:t>Outlining</w:t>
      </w:r>
      <w:r w:rsidRPr="00110A14">
        <w:t xml:space="preserve"> the competencies required for complex compounding provide</w:t>
      </w:r>
      <w:r w:rsidR="00AE4D4C">
        <w:t>s</w:t>
      </w:r>
      <w:r w:rsidRPr="00110A14">
        <w:t xml:space="preserve"> a tool to </w:t>
      </w:r>
      <w:r w:rsidR="00545AE5">
        <w:t>help</w:t>
      </w:r>
      <w:r w:rsidRPr="00110A14">
        <w:t xml:space="preserve"> pharmacists to acquire and maintain the required competence for any type of complex compounding. It may also </w:t>
      </w:r>
      <w:r w:rsidR="00545AE5">
        <w:t>help</w:t>
      </w:r>
      <w:r w:rsidRPr="00110A14">
        <w:t xml:space="preserve"> course providers to develop complex compounding training programs. In undertaking this work the Board </w:t>
      </w:r>
      <w:r w:rsidR="005D7DF9">
        <w:t xml:space="preserve">recognises </w:t>
      </w:r>
      <w:r w:rsidRPr="00110A14">
        <w:t xml:space="preserve">that changes in professional practice necessitate regular review of the competency standards for the profession. The Board therefore acknowledges that this </w:t>
      </w:r>
      <w:r w:rsidR="005D7DF9">
        <w:t>p</w:t>
      </w:r>
      <w:r w:rsidRPr="00110A14">
        <w:t xml:space="preserve">rofile, which is based on the competencies of the </w:t>
      </w:r>
      <w:hyperlink r:id="rId8" w:history="1">
        <w:r w:rsidR="00210547" w:rsidRPr="00887BD2">
          <w:rPr>
            <w:rStyle w:val="Hyperlink"/>
          </w:rPr>
          <w:t>National Competency Standards Framework</w:t>
        </w:r>
      </w:hyperlink>
      <w:r w:rsidRPr="0010213C">
        <w:rPr>
          <w:vertAlign w:val="superscript"/>
        </w:rPr>
        <w:footnoteReference w:id="1"/>
      </w:r>
      <w:r w:rsidRPr="00110A14">
        <w:t xml:space="preserve"> (the National Framework), is also subject to change.</w:t>
      </w:r>
    </w:p>
    <w:p w:rsidR="00E10391" w:rsidRPr="00110A14" w:rsidRDefault="00E10391" w:rsidP="00110A14">
      <w:pPr>
        <w:pStyle w:val="AHPRANumberedlistlevel1"/>
        <w:spacing w:after="200"/>
      </w:pPr>
      <w:r w:rsidRPr="00110A14">
        <w:t xml:space="preserve">The </w:t>
      </w:r>
      <w:r w:rsidR="00887BD2">
        <w:t>p</w:t>
      </w:r>
      <w:r w:rsidRPr="00110A14">
        <w:t xml:space="preserve">rofile has been created by selecting all competencies in the National Framework relevant to complex compounding and customising the evidence examples where necessary to show the behaviour expected of a competent pharmacist whose professional function is to undertake complex compounding. The competencies in Domains 1 and 2 of the National Framework are universally applicable to all professional activities so are automatically included in all practice profiles. The other selected competencies are intended to encompass complex compounding in all professional practice settings. Pharmacists can use the </w:t>
      </w:r>
      <w:r w:rsidR="005D7DF9">
        <w:t>p</w:t>
      </w:r>
      <w:r w:rsidRPr="00110A14">
        <w:t>rofile to select those complex compounding competencies relevant to their own practice setting.</w:t>
      </w:r>
    </w:p>
    <w:p w:rsidR="00E10391" w:rsidRPr="00110A14" w:rsidRDefault="00E10391" w:rsidP="00110A14">
      <w:pPr>
        <w:pStyle w:val="AHPRANumberedlistlevel1"/>
        <w:spacing w:after="200"/>
      </w:pPr>
      <w:r w:rsidRPr="00110A14">
        <w:t xml:space="preserve">The competencies required to undertake complex compounding can be attained through training and workplace experience. This </w:t>
      </w:r>
      <w:r w:rsidR="005D7DF9">
        <w:t>p</w:t>
      </w:r>
      <w:r w:rsidRPr="00110A14">
        <w:t xml:space="preserve">rofile does not explicitly define a training curriculum for complex compounding. However, course providers should be able to demonstrate a link from their curriculum and course learning objectives to the complex compounding competencies of this </w:t>
      </w:r>
      <w:r w:rsidR="005D7DF9">
        <w:t>p</w:t>
      </w:r>
      <w:r w:rsidRPr="00110A14">
        <w:t>rofile.  Primary sources such as professional codes, guidelines and practice standards will also be of assistance in guiding curriculum design.</w:t>
      </w:r>
    </w:p>
    <w:p w:rsidR="00E10391" w:rsidRPr="00110A14" w:rsidRDefault="00E10391" w:rsidP="00110A14">
      <w:pPr>
        <w:pStyle w:val="AHPRANumberedlistlevel1"/>
        <w:spacing w:after="200"/>
      </w:pPr>
      <w:r w:rsidRPr="00110A14">
        <w:t xml:space="preserve">Pharmacists wishing to develop their competence in complex compounding can use this </w:t>
      </w:r>
      <w:r w:rsidR="005D7DF9">
        <w:t>p</w:t>
      </w:r>
      <w:r w:rsidRPr="00110A14">
        <w:t>rofile to:</w:t>
      </w:r>
    </w:p>
    <w:p w:rsidR="00E10391" w:rsidRPr="00070CEE" w:rsidRDefault="00E10391" w:rsidP="00E10391">
      <w:pPr>
        <w:pStyle w:val="ListParagraph"/>
        <w:numPr>
          <w:ilvl w:val="0"/>
          <w:numId w:val="19"/>
        </w:numPr>
        <w:spacing w:after="0"/>
        <w:rPr>
          <w:rFonts w:cs="Arial"/>
          <w:sz w:val="20"/>
          <w:szCs w:val="20"/>
        </w:rPr>
      </w:pPr>
      <w:r w:rsidRPr="00070CEE">
        <w:rPr>
          <w:rFonts w:cs="Arial"/>
          <w:sz w:val="20"/>
          <w:szCs w:val="20"/>
        </w:rPr>
        <w:t>identify the competenc</w:t>
      </w:r>
      <w:r>
        <w:rPr>
          <w:rFonts w:cs="Arial"/>
          <w:sz w:val="20"/>
          <w:szCs w:val="20"/>
        </w:rPr>
        <w:t>y standards</w:t>
      </w:r>
      <w:r w:rsidRPr="00070CEE">
        <w:rPr>
          <w:rFonts w:cs="Arial"/>
          <w:sz w:val="20"/>
          <w:szCs w:val="20"/>
        </w:rPr>
        <w:t xml:space="preserve"> relevant to their practice</w:t>
      </w:r>
      <w:r>
        <w:rPr>
          <w:rFonts w:cs="Arial"/>
          <w:sz w:val="20"/>
          <w:szCs w:val="20"/>
        </w:rPr>
        <w:t>/practice setting</w:t>
      </w:r>
    </w:p>
    <w:p w:rsidR="00E10391" w:rsidRPr="00070CEE" w:rsidRDefault="00E10391" w:rsidP="00E10391">
      <w:pPr>
        <w:pStyle w:val="ListParagraph"/>
        <w:numPr>
          <w:ilvl w:val="0"/>
          <w:numId w:val="19"/>
        </w:numPr>
        <w:spacing w:after="0"/>
        <w:rPr>
          <w:rFonts w:cs="Arial"/>
          <w:sz w:val="20"/>
          <w:szCs w:val="20"/>
        </w:rPr>
      </w:pPr>
      <w:r w:rsidRPr="00070CEE">
        <w:rPr>
          <w:rFonts w:cs="Arial"/>
          <w:sz w:val="20"/>
          <w:szCs w:val="20"/>
        </w:rPr>
        <w:t>reflect on their continuing professional development needs</w:t>
      </w:r>
    </w:p>
    <w:p w:rsidR="00E10391" w:rsidRPr="00070CEE" w:rsidRDefault="00E10391" w:rsidP="00E10391">
      <w:pPr>
        <w:pStyle w:val="ListParagraph"/>
        <w:numPr>
          <w:ilvl w:val="0"/>
          <w:numId w:val="19"/>
        </w:numPr>
        <w:spacing w:after="0"/>
        <w:rPr>
          <w:rFonts w:cs="Arial"/>
          <w:sz w:val="20"/>
          <w:szCs w:val="20"/>
        </w:rPr>
      </w:pPr>
      <w:r w:rsidRPr="00070CEE">
        <w:rPr>
          <w:rFonts w:cs="Arial"/>
          <w:sz w:val="20"/>
          <w:szCs w:val="20"/>
        </w:rPr>
        <w:t xml:space="preserve">develop a learning plan, and </w:t>
      </w:r>
    </w:p>
    <w:p w:rsidR="00E10391" w:rsidRPr="00070CEE" w:rsidRDefault="00E10391" w:rsidP="00E10391">
      <w:pPr>
        <w:pStyle w:val="ListParagraph"/>
        <w:numPr>
          <w:ilvl w:val="0"/>
          <w:numId w:val="19"/>
        </w:numPr>
        <w:ind w:left="760" w:hanging="357"/>
        <w:contextualSpacing w:val="0"/>
        <w:rPr>
          <w:rFonts w:cs="Arial"/>
          <w:sz w:val="20"/>
          <w:szCs w:val="20"/>
        </w:rPr>
      </w:pPr>
      <w:r w:rsidRPr="00070CEE">
        <w:rPr>
          <w:rFonts w:cs="Arial"/>
          <w:sz w:val="20"/>
          <w:szCs w:val="20"/>
        </w:rPr>
        <w:t>undertake activities to address their learning needs.</w:t>
      </w:r>
    </w:p>
    <w:p w:rsidR="00E10391" w:rsidRPr="00110A14" w:rsidRDefault="00E10391" w:rsidP="00110A14">
      <w:pPr>
        <w:pStyle w:val="AHPRANumberedlistlevel1"/>
        <w:spacing w:after="200"/>
      </w:pPr>
      <w:r w:rsidRPr="00110A14">
        <w:t xml:space="preserve">It is acknowledged that many pharmacists will have a scope of practice that is broader than that encompassed in this </w:t>
      </w:r>
      <w:r w:rsidR="005D7DF9">
        <w:t>p</w:t>
      </w:r>
      <w:r w:rsidRPr="00110A14">
        <w:t xml:space="preserve">rofile. Those pharmacists wishing to create a personalised profile relevant to their particular scope of practice and practice setting can do so by combining relevant competencies from this </w:t>
      </w:r>
      <w:r w:rsidR="002418F8">
        <w:t>p</w:t>
      </w:r>
      <w:r w:rsidRPr="00110A14">
        <w:t>rofile</w:t>
      </w:r>
      <w:r w:rsidR="002418F8">
        <w:t xml:space="preserve">. They can </w:t>
      </w:r>
      <w:r w:rsidRPr="00110A14">
        <w:t>then undertak</w:t>
      </w:r>
      <w:r w:rsidR="002418F8">
        <w:t>e</w:t>
      </w:r>
      <w:r w:rsidRPr="00110A14">
        <w:t xml:space="preserve"> the process described in Section 1.8 </w:t>
      </w:r>
      <w:r w:rsidRPr="00545AE5">
        <w:rPr>
          <w:i/>
        </w:rPr>
        <w:t xml:space="preserve">Developing a </w:t>
      </w:r>
      <w:r w:rsidR="00545AE5">
        <w:rPr>
          <w:i/>
        </w:rPr>
        <w:t>p</w:t>
      </w:r>
      <w:r w:rsidRPr="00545AE5">
        <w:rPr>
          <w:i/>
        </w:rPr>
        <w:t xml:space="preserve">rofessional </w:t>
      </w:r>
      <w:r w:rsidR="00545AE5">
        <w:rPr>
          <w:i/>
        </w:rPr>
        <w:t>p</w:t>
      </w:r>
      <w:r w:rsidRPr="00545AE5">
        <w:rPr>
          <w:i/>
        </w:rPr>
        <w:t xml:space="preserve">ractice </w:t>
      </w:r>
      <w:r w:rsidR="00545AE5">
        <w:rPr>
          <w:i/>
        </w:rPr>
        <w:t>p</w:t>
      </w:r>
      <w:r w:rsidRPr="00545AE5">
        <w:rPr>
          <w:i/>
        </w:rPr>
        <w:t>rofile</w:t>
      </w:r>
      <w:r w:rsidRPr="00110A14">
        <w:t xml:space="preserve"> of the National Framework to select additional relevant competencies from the National Framework. For example, those pharmacists whose professional role includes managerial oversight of a complex compounding service will need to select relevant competencies from Domain 3 </w:t>
      </w:r>
      <w:r w:rsidRPr="00545AE5">
        <w:rPr>
          <w:i/>
        </w:rPr>
        <w:t>Leadership and management</w:t>
      </w:r>
      <w:r w:rsidRPr="00110A14">
        <w:t xml:space="preserve"> of the National Framework. </w:t>
      </w:r>
    </w:p>
    <w:p w:rsidR="00E10391" w:rsidRPr="00110A14" w:rsidRDefault="00E10391" w:rsidP="00110A14">
      <w:pPr>
        <w:pStyle w:val="AHPRANumberedlistlevel1"/>
        <w:spacing w:after="200"/>
      </w:pPr>
      <w:r w:rsidRPr="00110A14">
        <w:t>It is assumed pharmacists using this or any other profile are aware of their professional obligations and practi</w:t>
      </w:r>
      <w:r w:rsidR="002418F8">
        <w:t>s</w:t>
      </w:r>
      <w:r w:rsidRPr="00110A14">
        <w:t>e in a manner that is consistent with professional codes, standards and guidelines.</w:t>
      </w:r>
    </w:p>
    <w:p w:rsidR="00E10391" w:rsidRPr="00070CEE" w:rsidRDefault="00E10391" w:rsidP="00E10391">
      <w:pPr>
        <w:pStyle w:val="Heading1"/>
        <w:rPr>
          <w:rFonts w:ascii="Arial" w:hAnsi="Arial" w:cs="Arial"/>
          <w:sz w:val="20"/>
          <w:szCs w:val="20"/>
        </w:rPr>
      </w:pPr>
      <w:bookmarkStart w:id="2" w:name="_Toc377638224"/>
      <w:r>
        <w:rPr>
          <w:rFonts w:ascii="Arial" w:hAnsi="Arial" w:cs="Arial"/>
          <w:sz w:val="20"/>
          <w:szCs w:val="20"/>
        </w:rPr>
        <w:t xml:space="preserve">Complex </w:t>
      </w:r>
      <w:r w:rsidR="002418F8">
        <w:rPr>
          <w:rFonts w:ascii="Arial" w:hAnsi="Arial" w:cs="Arial"/>
          <w:sz w:val="20"/>
          <w:szCs w:val="20"/>
        </w:rPr>
        <w:t>c</w:t>
      </w:r>
      <w:r>
        <w:rPr>
          <w:rFonts w:ascii="Arial" w:hAnsi="Arial" w:cs="Arial"/>
          <w:sz w:val="20"/>
          <w:szCs w:val="20"/>
        </w:rPr>
        <w:t>ompounding</w:t>
      </w:r>
      <w:bookmarkEnd w:id="2"/>
    </w:p>
    <w:p w:rsidR="00110A14" w:rsidRDefault="00E10391" w:rsidP="00E10391">
      <w:pPr>
        <w:pStyle w:val="AHPRANumberedlistlevel1"/>
        <w:spacing w:after="200"/>
      </w:pPr>
      <w:r w:rsidRPr="00110A14">
        <w:t>The following definition</w:t>
      </w:r>
      <w:r w:rsidR="000C011C">
        <w:t>s</w:t>
      </w:r>
      <w:r w:rsidRPr="00110A14">
        <w:t xml:space="preserve"> of the term</w:t>
      </w:r>
      <w:r w:rsidR="000C011C">
        <w:t>s ‘simple compounding’ and</w:t>
      </w:r>
      <w:r w:rsidRPr="00110A14">
        <w:t xml:space="preserve"> ‘complex compounding’ ha</w:t>
      </w:r>
      <w:r w:rsidR="000C011C">
        <w:t>ve</w:t>
      </w:r>
      <w:r w:rsidRPr="00110A14">
        <w:t xml:space="preserve"> been adopted and included in the Board’s </w:t>
      </w:r>
      <w:r w:rsidR="00D55C26" w:rsidRPr="00D55C26">
        <w:rPr>
          <w:i/>
        </w:rPr>
        <w:t>Guidelines on compounding of medicines.</w:t>
      </w:r>
    </w:p>
    <w:p w:rsidR="003A5DFD" w:rsidRDefault="000C011C" w:rsidP="00110A14">
      <w:pPr>
        <w:pStyle w:val="AHPRANumberedlistlevel1"/>
        <w:numPr>
          <w:ilvl w:val="0"/>
          <w:numId w:val="0"/>
        </w:numPr>
        <w:spacing w:after="200"/>
        <w:ind w:left="369"/>
      </w:pPr>
      <w:r>
        <w:rPr>
          <w:b/>
        </w:rPr>
        <w:t xml:space="preserve">Simple compounding </w:t>
      </w:r>
      <w:r w:rsidRPr="000C011C">
        <w:t>means</w:t>
      </w:r>
      <w:r>
        <w:t xml:space="preserve"> the preparation and supply of a single ‘unit of issue’ of a therapeutic product intended for use by a specific person in response to an identified need. It routinely involves the compounding of products from formulations published in reputable references such as the </w:t>
      </w:r>
      <w:r>
        <w:rPr>
          <w:i/>
        </w:rPr>
        <w:t xml:space="preserve">Australian </w:t>
      </w:r>
      <w:r w:rsidR="006A2455">
        <w:rPr>
          <w:i/>
        </w:rPr>
        <w:t>P</w:t>
      </w:r>
      <w:r>
        <w:rPr>
          <w:i/>
        </w:rPr>
        <w:t xml:space="preserve">harmaceutical </w:t>
      </w:r>
      <w:r w:rsidR="006A2455">
        <w:rPr>
          <w:i/>
        </w:rPr>
        <w:t>F</w:t>
      </w:r>
      <w:r>
        <w:rPr>
          <w:i/>
        </w:rPr>
        <w:t xml:space="preserve">ormulary and </w:t>
      </w:r>
      <w:r w:rsidR="006A2455">
        <w:rPr>
          <w:i/>
        </w:rPr>
        <w:t>H</w:t>
      </w:r>
      <w:r>
        <w:rPr>
          <w:i/>
        </w:rPr>
        <w:t xml:space="preserve">andbook </w:t>
      </w:r>
      <w:r w:rsidRPr="000C011C">
        <w:t>(excluding the preparation of sterile products from these formulations, which is considered complex compounding</w:t>
      </w:r>
      <w:r>
        <w:t>), or using other formulations for which information confirming quality, stability, safety, efficacy and rationality is available.</w:t>
      </w:r>
    </w:p>
    <w:p w:rsidR="00E10391" w:rsidRPr="002418F8" w:rsidRDefault="00670027" w:rsidP="00110A14">
      <w:pPr>
        <w:pStyle w:val="AHPRANumberedlistlevel1"/>
        <w:numPr>
          <w:ilvl w:val="0"/>
          <w:numId w:val="0"/>
        </w:numPr>
        <w:spacing w:after="200"/>
        <w:ind w:left="369"/>
      </w:pPr>
      <w:r w:rsidRPr="00670027">
        <w:rPr>
          <w:rFonts w:cs="Arial"/>
          <w:b/>
          <w:szCs w:val="20"/>
        </w:rPr>
        <w:lastRenderedPageBreak/>
        <w:t>Complex compounding</w:t>
      </w:r>
      <w:r w:rsidRPr="00670027">
        <w:rPr>
          <w:rFonts w:cs="Arial"/>
          <w:szCs w:val="20"/>
        </w:rPr>
        <w:t xml:space="preserve"> means the preparation and supply of a single ‘unit of issue’ of a therapeutic product that is intended for immediate use by a specific patient and that requires or involves specific competencies, equipment, processes or facilities. Examples include sterile products and preparations containing ingredients which pose an occupational health and safety hazard such as cytotoxics</w:t>
      </w:r>
      <w:r w:rsidR="00D55C26" w:rsidRPr="00D55C26">
        <w:rPr>
          <w:rFonts w:cs="Arial"/>
          <w:szCs w:val="20"/>
        </w:rPr>
        <w:t xml:space="preserve"> or hormones, monoclonal antibodies, micro-dose single unit dosage forms containing less than 25mg of active ingredient, tablets, capsules, troches and modified release preparations.</w:t>
      </w:r>
    </w:p>
    <w:p w:rsidR="00E10391" w:rsidRPr="00110A14" w:rsidRDefault="00E10391" w:rsidP="00110A14">
      <w:pPr>
        <w:pStyle w:val="AHPRANumberedlistlevel1"/>
        <w:spacing w:after="200"/>
      </w:pPr>
      <w:r w:rsidRPr="00110A14">
        <w:t xml:space="preserve">These </w:t>
      </w:r>
      <w:r w:rsidR="002418F8">
        <w:t>g</w:t>
      </w:r>
      <w:r w:rsidRPr="00110A14">
        <w:t xml:space="preserve">uidelines state that a </w:t>
      </w:r>
      <w:r w:rsidR="00210547">
        <w:t>‘</w:t>
      </w:r>
      <w:r w:rsidRPr="00110A14">
        <w:t>compounded product should be prepared only in circumstances when an appropriate commercial product is unavailable or unsuitable</w:t>
      </w:r>
      <w:r w:rsidR="002418F8">
        <w:t>’</w:t>
      </w:r>
      <w:r w:rsidRPr="00110A14">
        <w:t>.</w:t>
      </w:r>
    </w:p>
    <w:p w:rsidR="00E10391" w:rsidRPr="00110A14" w:rsidRDefault="00E10391" w:rsidP="00110A14">
      <w:pPr>
        <w:pStyle w:val="AHPRANumberedlistlevel1"/>
        <w:spacing w:after="200"/>
      </w:pPr>
      <w:r w:rsidRPr="00110A14">
        <w:t>The growth in recent years in the number and type of compounded products provided by pharmacists to Australian consumers</w:t>
      </w:r>
      <w:r w:rsidRPr="00887BD2">
        <w:rPr>
          <w:vertAlign w:val="superscript"/>
        </w:rPr>
        <w:footnoteReference w:id="2"/>
      </w:r>
      <w:r w:rsidRPr="00110A14">
        <w:t xml:space="preserve"> has occurred in response to a need for </w:t>
      </w:r>
      <w:r w:rsidR="003A5DFD">
        <w:t xml:space="preserve">customised </w:t>
      </w:r>
      <w:r w:rsidRPr="00110A14">
        <w:t>medicines to meet the unique health care requirements of individual consumers. Circumstances giving rise to the need for customised medicines include discontinuation or lack of availability of a suitable commercial product, consumer allergies to components of available products (e.g. preservatives, flavouring or colouring agents) or tailoring of product form or strength to facilitate accurate dosing (e.g. in children or those with swallowing difficulty). Compounded products are also in demand in veterinary medicine because of the diversity of the animals and ailments for which treatment is required. These factors have been a driver for the range of compounded products being expanded to include complex compounded products, the change facilitated by the availability of relevant training programs and by technological advances.</w:t>
      </w:r>
    </w:p>
    <w:p w:rsidR="00E10391" w:rsidRPr="00070CEE" w:rsidRDefault="00E10391" w:rsidP="00E10391">
      <w:pPr>
        <w:pStyle w:val="Heading1"/>
        <w:rPr>
          <w:rFonts w:ascii="Arial" w:hAnsi="Arial" w:cs="Arial"/>
          <w:sz w:val="20"/>
          <w:szCs w:val="20"/>
        </w:rPr>
      </w:pPr>
      <w:bookmarkStart w:id="3" w:name="_Toc377638225"/>
      <w:r w:rsidRPr="00070CEE">
        <w:rPr>
          <w:rFonts w:ascii="Arial" w:hAnsi="Arial" w:cs="Arial"/>
          <w:sz w:val="20"/>
          <w:szCs w:val="20"/>
        </w:rPr>
        <w:t xml:space="preserve">Prerequisite </w:t>
      </w:r>
      <w:r w:rsidR="003A5DFD">
        <w:rPr>
          <w:rFonts w:ascii="Arial" w:hAnsi="Arial" w:cs="Arial"/>
          <w:sz w:val="20"/>
          <w:szCs w:val="20"/>
        </w:rPr>
        <w:t>c</w:t>
      </w:r>
      <w:r w:rsidRPr="00070CEE">
        <w:rPr>
          <w:rFonts w:ascii="Arial" w:hAnsi="Arial" w:cs="Arial"/>
          <w:sz w:val="20"/>
          <w:szCs w:val="20"/>
        </w:rPr>
        <w:t xml:space="preserve">ompetency </w:t>
      </w:r>
      <w:r w:rsidR="003A5DFD">
        <w:rPr>
          <w:rFonts w:ascii="Arial" w:hAnsi="Arial" w:cs="Arial"/>
          <w:sz w:val="20"/>
          <w:szCs w:val="20"/>
        </w:rPr>
        <w:t>s</w:t>
      </w:r>
      <w:r w:rsidRPr="00070CEE">
        <w:rPr>
          <w:rFonts w:ascii="Arial" w:hAnsi="Arial" w:cs="Arial"/>
          <w:sz w:val="20"/>
          <w:szCs w:val="20"/>
        </w:rPr>
        <w:t>tandards</w:t>
      </w:r>
      <w:bookmarkEnd w:id="3"/>
    </w:p>
    <w:p w:rsidR="00E10391" w:rsidRPr="00110A14" w:rsidRDefault="00E10391" w:rsidP="00110A14">
      <w:pPr>
        <w:pStyle w:val="AHPRANumberedlistlevel1"/>
        <w:spacing w:after="200"/>
      </w:pPr>
      <w:r w:rsidRPr="00110A14">
        <w:t xml:space="preserve">Pharmacists are required to demonstrate competency in simple compounding at the time of entry to the profession. The particular compounding competencies expected to be demonstrated are described as entry-level requirements in the National Framework (refer to </w:t>
      </w:r>
      <w:r w:rsidRPr="00FE161E">
        <w:t>page 80</w:t>
      </w:r>
      <w:r w:rsidRPr="00110A14">
        <w:t xml:space="preserve"> and the shaded sections of standards 5.1 – 5.4). These same simple compounding competencies would be the minimum expected of pharmacists wishing to gain the expertise required to prepare complex compounded pharmaceutical products through undertaking additional training. Thus the entry-level/simple compounding competency standards in Domain 5 </w:t>
      </w:r>
      <w:r w:rsidRPr="00545AE5">
        <w:rPr>
          <w:i/>
        </w:rPr>
        <w:t xml:space="preserve">Prepare </w:t>
      </w:r>
      <w:r w:rsidR="003A5DFD" w:rsidRPr="00545AE5">
        <w:rPr>
          <w:i/>
        </w:rPr>
        <w:t>p</w:t>
      </w:r>
      <w:r w:rsidRPr="00545AE5">
        <w:rPr>
          <w:i/>
        </w:rPr>
        <w:t xml:space="preserve">harmaceutical </w:t>
      </w:r>
      <w:r w:rsidR="003A5DFD" w:rsidRPr="00545AE5">
        <w:rPr>
          <w:i/>
        </w:rPr>
        <w:t>p</w:t>
      </w:r>
      <w:r w:rsidRPr="00545AE5">
        <w:rPr>
          <w:i/>
        </w:rPr>
        <w:t>roducts</w:t>
      </w:r>
      <w:r w:rsidRPr="00110A14">
        <w:t xml:space="preserve"> are prerequisite foundation competencies for undertaking a complex compounding training program. Inevitably, there will be a significant overlap in the competencies expected for simple compounding and those required for complex compounding</w:t>
      </w:r>
      <w:r w:rsidR="003A5DFD">
        <w:t xml:space="preserve">. This is due to </w:t>
      </w:r>
      <w:r w:rsidRPr="00110A14">
        <w:t>complex compounding requir</w:t>
      </w:r>
      <w:r w:rsidR="005020EE">
        <w:t>ing</w:t>
      </w:r>
      <w:r w:rsidRPr="00110A14">
        <w:t xml:space="preserve"> the acquisition of additional knowledge and skills primarily in the areas of compounding technique, equipment and facilities, risk management, pharmaceutics and pharmacotherapy with complex compounded products.</w:t>
      </w:r>
    </w:p>
    <w:p w:rsidR="00E10391" w:rsidRPr="00070CEE" w:rsidRDefault="00E10391" w:rsidP="00E10391">
      <w:pPr>
        <w:pStyle w:val="Heading1"/>
        <w:rPr>
          <w:rFonts w:ascii="Arial" w:hAnsi="Arial" w:cs="Arial"/>
          <w:sz w:val="20"/>
          <w:szCs w:val="20"/>
        </w:rPr>
      </w:pPr>
      <w:bookmarkStart w:id="4" w:name="_Toc377638226"/>
      <w:r w:rsidRPr="00070CEE">
        <w:rPr>
          <w:rFonts w:ascii="Arial" w:hAnsi="Arial" w:cs="Arial"/>
          <w:sz w:val="20"/>
          <w:szCs w:val="20"/>
        </w:rPr>
        <w:t xml:space="preserve">Complex </w:t>
      </w:r>
      <w:r w:rsidR="005020EE">
        <w:rPr>
          <w:rFonts w:ascii="Arial" w:hAnsi="Arial" w:cs="Arial"/>
          <w:sz w:val="20"/>
          <w:szCs w:val="20"/>
        </w:rPr>
        <w:t>c</w:t>
      </w:r>
      <w:r w:rsidRPr="00070CEE">
        <w:rPr>
          <w:rFonts w:ascii="Arial" w:hAnsi="Arial" w:cs="Arial"/>
          <w:sz w:val="20"/>
          <w:szCs w:val="20"/>
        </w:rPr>
        <w:t xml:space="preserve">ompounding </w:t>
      </w:r>
      <w:r w:rsidR="005020EE">
        <w:rPr>
          <w:rFonts w:ascii="Arial" w:hAnsi="Arial" w:cs="Arial"/>
          <w:sz w:val="20"/>
          <w:szCs w:val="20"/>
        </w:rPr>
        <w:t>t</w:t>
      </w:r>
      <w:r w:rsidRPr="00070CEE">
        <w:rPr>
          <w:rFonts w:ascii="Arial" w:hAnsi="Arial" w:cs="Arial"/>
          <w:sz w:val="20"/>
          <w:szCs w:val="20"/>
        </w:rPr>
        <w:t xml:space="preserve">raining </w:t>
      </w:r>
      <w:r w:rsidR="005020EE">
        <w:rPr>
          <w:rFonts w:ascii="Arial" w:hAnsi="Arial" w:cs="Arial"/>
          <w:sz w:val="20"/>
          <w:szCs w:val="20"/>
        </w:rPr>
        <w:t>p</w:t>
      </w:r>
      <w:r w:rsidRPr="00070CEE">
        <w:rPr>
          <w:rFonts w:ascii="Arial" w:hAnsi="Arial" w:cs="Arial"/>
          <w:sz w:val="20"/>
          <w:szCs w:val="20"/>
        </w:rPr>
        <w:t>rograms</w:t>
      </w:r>
      <w:bookmarkEnd w:id="4"/>
    </w:p>
    <w:p w:rsidR="00E10391" w:rsidRPr="00110A14" w:rsidRDefault="00E10391" w:rsidP="00110A14">
      <w:pPr>
        <w:pStyle w:val="AHPRANumberedlistlevel1"/>
        <w:spacing w:after="200"/>
      </w:pPr>
      <w:r w:rsidRPr="00110A14">
        <w:t xml:space="preserve">Pharmacists who wish to engage in complex compounding must acquire and build the requisite knowledge and expertise through participation in formal training programs and ongoing workplace training and experience. Pharmacists should satisfy themselves that any education and training </w:t>
      </w:r>
      <w:r w:rsidR="005020EE">
        <w:t xml:space="preserve">done </w:t>
      </w:r>
      <w:r w:rsidRPr="00110A14">
        <w:t>to acquire competence for complex compounding addresses and assesses core complex compounding competencies and/or directly related learning objectives. They should also try to ensure they have achieved competence in simple compounding before participating in a complex compounding training program and that they are able to access relevant experiential learning opportunities on completion of training.</w:t>
      </w:r>
    </w:p>
    <w:p w:rsidR="00E10391" w:rsidRPr="00110A14" w:rsidRDefault="00E10391" w:rsidP="00110A14">
      <w:pPr>
        <w:pStyle w:val="AHPRANumberedlistlevel1"/>
        <w:spacing w:after="200"/>
      </w:pPr>
      <w:r w:rsidRPr="00110A14">
        <w:t xml:space="preserve"> All pharmacists will have </w:t>
      </w:r>
      <w:r w:rsidR="005020EE">
        <w:t>carried out</w:t>
      </w:r>
      <w:r w:rsidRPr="00110A14">
        <w:t xml:space="preserve"> simple compounding activities but their experience in this area of professional practice may not be current. It is therefore expected that complex compounding training programs for pharmacists will be initiated with an introduction to simple compounding principles and processes. Thereafter, they will be focused on building upon the prerequisite competencies to enhance the pharmacist’s knowledge, skills and expertise in the areas of:</w:t>
      </w:r>
    </w:p>
    <w:p w:rsidR="00E10391" w:rsidRPr="00070CEE" w:rsidRDefault="00E10391" w:rsidP="00E10391">
      <w:pPr>
        <w:pStyle w:val="ListParagraph"/>
        <w:numPr>
          <w:ilvl w:val="0"/>
          <w:numId w:val="25"/>
        </w:numPr>
        <w:spacing w:after="0"/>
        <w:rPr>
          <w:rFonts w:cs="Arial"/>
          <w:sz w:val="20"/>
          <w:szCs w:val="20"/>
        </w:rPr>
      </w:pPr>
      <w:r w:rsidRPr="00070CEE">
        <w:rPr>
          <w:rFonts w:cs="Arial"/>
          <w:sz w:val="20"/>
          <w:szCs w:val="20"/>
        </w:rPr>
        <w:t>Compounding techniques and the use of specialised compounding equipment and facilities.</w:t>
      </w:r>
    </w:p>
    <w:p w:rsidR="00E10391" w:rsidRPr="00070CEE" w:rsidRDefault="00E10391" w:rsidP="00E10391">
      <w:pPr>
        <w:pStyle w:val="ListParagraph"/>
        <w:numPr>
          <w:ilvl w:val="0"/>
          <w:numId w:val="25"/>
        </w:numPr>
        <w:spacing w:after="0"/>
        <w:rPr>
          <w:rFonts w:cs="Arial"/>
          <w:sz w:val="20"/>
          <w:szCs w:val="20"/>
        </w:rPr>
      </w:pPr>
      <w:r w:rsidRPr="00070CEE">
        <w:rPr>
          <w:rFonts w:cs="Arial"/>
          <w:sz w:val="20"/>
          <w:szCs w:val="20"/>
        </w:rPr>
        <w:t>Compounding conventions and principles, and chemical compatibilities.</w:t>
      </w:r>
    </w:p>
    <w:p w:rsidR="00E10391" w:rsidRPr="00070CEE" w:rsidRDefault="00E10391" w:rsidP="00E10391">
      <w:pPr>
        <w:pStyle w:val="ListParagraph"/>
        <w:numPr>
          <w:ilvl w:val="0"/>
          <w:numId w:val="25"/>
        </w:numPr>
        <w:spacing w:after="0"/>
        <w:rPr>
          <w:rFonts w:cs="Arial"/>
          <w:sz w:val="20"/>
          <w:szCs w:val="20"/>
        </w:rPr>
      </w:pPr>
      <w:r w:rsidRPr="00070CEE">
        <w:rPr>
          <w:rFonts w:cs="Arial"/>
          <w:sz w:val="20"/>
          <w:szCs w:val="20"/>
        </w:rPr>
        <w:t>Use of specialised information sources for identifying suitable formulations and clarifying issues relevant to the stability, efficacy and safety of products.</w:t>
      </w:r>
    </w:p>
    <w:p w:rsidR="00E10391" w:rsidRPr="00070CEE" w:rsidRDefault="00E10391" w:rsidP="00E10391">
      <w:pPr>
        <w:pStyle w:val="ListParagraph"/>
        <w:numPr>
          <w:ilvl w:val="0"/>
          <w:numId w:val="25"/>
        </w:numPr>
        <w:spacing w:after="0"/>
        <w:rPr>
          <w:rFonts w:cs="Arial"/>
          <w:sz w:val="20"/>
          <w:szCs w:val="20"/>
        </w:rPr>
      </w:pPr>
      <w:r w:rsidRPr="00070CEE">
        <w:rPr>
          <w:rFonts w:cs="Arial"/>
          <w:sz w:val="20"/>
          <w:szCs w:val="20"/>
        </w:rPr>
        <w:lastRenderedPageBreak/>
        <w:t>Safe handling and waste disposal procedures for hazardous materials and contaminated equipment to control exposure of self, other personnel, consumers and the environment.</w:t>
      </w:r>
    </w:p>
    <w:p w:rsidR="00E10391" w:rsidRPr="00070CEE" w:rsidRDefault="00E10391" w:rsidP="00E10391">
      <w:pPr>
        <w:pStyle w:val="ListParagraph"/>
        <w:numPr>
          <w:ilvl w:val="0"/>
          <w:numId w:val="25"/>
        </w:numPr>
        <w:ind w:left="714" w:hanging="357"/>
        <w:contextualSpacing w:val="0"/>
        <w:rPr>
          <w:rFonts w:cs="Arial"/>
          <w:sz w:val="20"/>
          <w:szCs w:val="20"/>
        </w:rPr>
      </w:pPr>
      <w:r w:rsidRPr="00070CEE">
        <w:rPr>
          <w:rFonts w:cs="Arial"/>
          <w:sz w:val="20"/>
          <w:szCs w:val="20"/>
        </w:rPr>
        <w:t>Pharmacotherapeutic and pharmacokinetic considerations impacting on indications for use, precautions and contraindications, potential adverse effects, and safe and informed use by the consumer to whom the products are recommended and/or supplied.</w:t>
      </w:r>
    </w:p>
    <w:p w:rsidR="00E10391" w:rsidRPr="00110A14" w:rsidRDefault="00E10391" w:rsidP="00110A14">
      <w:pPr>
        <w:pStyle w:val="AHPRANumberedlistlevel1"/>
        <w:spacing w:after="200"/>
      </w:pPr>
      <w:r w:rsidRPr="00110A14">
        <w:t xml:space="preserve">The range of pharmaceutical products encompassed within the definition of complex compounding is quite diverse. For this reason it is likely that complex compounding training programs will be structured to allow pharmacists to complete core units of training and then select from a range of extension units (e.g. cytotoxic (linked to </w:t>
      </w:r>
      <w:r w:rsidR="00A10A96">
        <w:t>S</w:t>
      </w:r>
      <w:r w:rsidRPr="00110A14">
        <w:t xml:space="preserve">tandards 5.1 and 5.4) or sterile products (linked to Standards 5.1 and 5.3)) based on their preferred areas of practice. As for other </w:t>
      </w:r>
      <w:r w:rsidR="005020EE">
        <w:t>continuing professional development (</w:t>
      </w:r>
      <w:r w:rsidRPr="00110A14">
        <w:t>CPD</w:t>
      </w:r>
      <w:r w:rsidR="005020EE">
        <w:t>)</w:t>
      </w:r>
      <w:r w:rsidRPr="00110A14">
        <w:t xml:space="preserve"> activities, it is expected that course providers are able to provide potential course participants with information demonstrat</w:t>
      </w:r>
      <w:r w:rsidR="00504EC0">
        <w:t>ing</w:t>
      </w:r>
      <w:r w:rsidRPr="00110A14">
        <w:t xml:space="preserve"> that their course encompasses the core competencies for complex compounding and, where relevant, the competencies required for selected extensions to compounding practice.</w:t>
      </w:r>
    </w:p>
    <w:p w:rsidR="00E10391" w:rsidRPr="00070CEE" w:rsidRDefault="00E10391" w:rsidP="00E10391">
      <w:pPr>
        <w:pStyle w:val="Heading1"/>
        <w:rPr>
          <w:rFonts w:ascii="Arial" w:hAnsi="Arial" w:cs="Arial"/>
          <w:sz w:val="20"/>
          <w:szCs w:val="20"/>
        </w:rPr>
      </w:pPr>
      <w:bookmarkStart w:id="5" w:name="_Toc377638227"/>
      <w:r w:rsidRPr="00070CEE">
        <w:rPr>
          <w:rFonts w:ascii="Arial" w:hAnsi="Arial" w:cs="Arial"/>
          <w:sz w:val="20"/>
          <w:szCs w:val="20"/>
        </w:rPr>
        <w:t xml:space="preserve">Competency </w:t>
      </w:r>
      <w:r w:rsidR="00504EC0">
        <w:rPr>
          <w:rFonts w:ascii="Arial" w:hAnsi="Arial" w:cs="Arial"/>
          <w:sz w:val="20"/>
          <w:szCs w:val="20"/>
        </w:rPr>
        <w:t>s</w:t>
      </w:r>
      <w:r w:rsidRPr="00070CEE">
        <w:rPr>
          <w:rFonts w:ascii="Arial" w:hAnsi="Arial" w:cs="Arial"/>
          <w:sz w:val="20"/>
          <w:szCs w:val="20"/>
        </w:rPr>
        <w:t xml:space="preserve">tandards for </w:t>
      </w:r>
      <w:r w:rsidR="00504EC0">
        <w:rPr>
          <w:rFonts w:ascii="Arial" w:hAnsi="Arial" w:cs="Arial"/>
          <w:sz w:val="20"/>
          <w:szCs w:val="20"/>
        </w:rPr>
        <w:t>c</w:t>
      </w:r>
      <w:r w:rsidRPr="00070CEE">
        <w:rPr>
          <w:rFonts w:ascii="Arial" w:hAnsi="Arial" w:cs="Arial"/>
          <w:sz w:val="20"/>
          <w:szCs w:val="20"/>
        </w:rPr>
        <w:t xml:space="preserve">omplex </w:t>
      </w:r>
      <w:r w:rsidR="00504EC0">
        <w:rPr>
          <w:rFonts w:ascii="Arial" w:hAnsi="Arial" w:cs="Arial"/>
          <w:sz w:val="20"/>
          <w:szCs w:val="20"/>
        </w:rPr>
        <w:t>c</w:t>
      </w:r>
      <w:r w:rsidRPr="00070CEE">
        <w:rPr>
          <w:rFonts w:ascii="Arial" w:hAnsi="Arial" w:cs="Arial"/>
          <w:sz w:val="20"/>
          <w:szCs w:val="20"/>
        </w:rPr>
        <w:t>ompounding</w:t>
      </w:r>
      <w:bookmarkEnd w:id="5"/>
    </w:p>
    <w:p w:rsidR="00E10391" w:rsidRPr="00110A14" w:rsidRDefault="00E10391" w:rsidP="00110A14">
      <w:pPr>
        <w:pStyle w:val="AHPRANumberedlistlevel1"/>
        <w:spacing w:after="200"/>
      </w:pPr>
      <w:r w:rsidRPr="00110A14">
        <w:t>This professional practice profile is a tool for showing the competencies required for specific roles, services or positions that involve complex compounding. The process for building a professional practice profile is described in</w:t>
      </w:r>
      <w:r w:rsidR="00911A1E">
        <w:t xml:space="preserve"> 1.8 </w:t>
      </w:r>
      <w:r w:rsidR="00911A1E" w:rsidRPr="00545AE5">
        <w:rPr>
          <w:i/>
        </w:rPr>
        <w:t xml:space="preserve">Developing a </w:t>
      </w:r>
      <w:r w:rsidR="00545AE5">
        <w:rPr>
          <w:i/>
        </w:rPr>
        <w:t>p</w:t>
      </w:r>
      <w:r w:rsidR="00911A1E" w:rsidRPr="00545AE5">
        <w:rPr>
          <w:i/>
        </w:rPr>
        <w:t>rofessional</w:t>
      </w:r>
      <w:r w:rsidR="00545AE5">
        <w:rPr>
          <w:i/>
        </w:rPr>
        <w:t xml:space="preserve"> p</w:t>
      </w:r>
      <w:r w:rsidR="00911A1E" w:rsidRPr="00545AE5">
        <w:rPr>
          <w:i/>
        </w:rPr>
        <w:t xml:space="preserve">ractice </w:t>
      </w:r>
      <w:r w:rsidR="00545AE5">
        <w:rPr>
          <w:i/>
        </w:rPr>
        <w:t>p</w:t>
      </w:r>
      <w:r w:rsidR="00911A1E" w:rsidRPr="00545AE5">
        <w:rPr>
          <w:i/>
        </w:rPr>
        <w:t>rofile</w:t>
      </w:r>
      <w:r w:rsidR="00911A1E">
        <w:t xml:space="preserve"> of</w:t>
      </w:r>
      <w:r w:rsidRPr="00110A14">
        <w:t xml:space="preserve"> the </w:t>
      </w:r>
      <w:r w:rsidRPr="00911A1E">
        <w:rPr>
          <w:i/>
        </w:rPr>
        <w:t>National Competency Standards Framework for Pharmacists in Australia (2010)</w:t>
      </w:r>
      <w:r w:rsidRPr="00110A14">
        <w:t>.</w:t>
      </w:r>
    </w:p>
    <w:p w:rsidR="00E10391" w:rsidRPr="00110A14" w:rsidRDefault="00E10391" w:rsidP="00110A14">
      <w:pPr>
        <w:pStyle w:val="AHPRANumberedlistlevel1"/>
        <w:spacing w:after="200"/>
      </w:pPr>
      <w:r w:rsidRPr="00110A14">
        <w:t>Table 1 shows a summary of the professional practice profile for a pharmacist undertaking complex compounding. The subsequent pages show an expanded version of the profile with customisation of the evidence examples, where appropriate, to reflect the performance expected to be observed in a pharmacist undertaking complex compounding</w:t>
      </w:r>
      <w:r w:rsidRPr="00111C8B">
        <w:rPr>
          <w:vertAlign w:val="superscript"/>
        </w:rPr>
        <w:footnoteReference w:id="3"/>
      </w:r>
      <w:r w:rsidRPr="00110A14">
        <w:t>. It should be noted that the profile and the evidence examples encompass any or all of the types of products that may be prepared in complex compounding. Not all of these will be relevant to individual pharmacists because of the choices they have made about the types of products they will be involved in preparing. The profile reflects the fact that products involving complex compounding may be supplied on prescription or order, or may be recommended and initiated by the pharmacist as a component of the primary health care services they provide.</w:t>
      </w:r>
    </w:p>
    <w:p w:rsidR="00E10391" w:rsidRPr="00070CEE" w:rsidRDefault="00E10391" w:rsidP="00E10391">
      <w:pPr>
        <w:spacing w:line="276" w:lineRule="auto"/>
        <w:rPr>
          <w:rFonts w:ascii="Arial" w:hAnsi="Arial" w:cs="Arial"/>
          <w:b/>
          <w:sz w:val="20"/>
          <w:szCs w:val="20"/>
        </w:rPr>
      </w:pPr>
      <w:r w:rsidRPr="00070CEE">
        <w:rPr>
          <w:rFonts w:ascii="Arial" w:hAnsi="Arial" w:cs="Arial"/>
          <w:b/>
          <w:sz w:val="20"/>
          <w:szCs w:val="20"/>
        </w:rPr>
        <w:br w:type="page"/>
      </w:r>
    </w:p>
    <w:p w:rsidR="00E10391" w:rsidRPr="00F559B5" w:rsidRDefault="00E10391" w:rsidP="00E10391">
      <w:pPr>
        <w:spacing w:after="120"/>
        <w:rPr>
          <w:rFonts w:ascii="Arial" w:hAnsi="Arial" w:cs="Arial"/>
        </w:rPr>
      </w:pPr>
      <w:r>
        <w:rPr>
          <w:rFonts w:ascii="Arial" w:hAnsi="Arial" w:cs="Arial"/>
          <w:b/>
        </w:rPr>
        <w:lastRenderedPageBreak/>
        <w:t>Table 1</w:t>
      </w:r>
      <w:r w:rsidRPr="00F559B5">
        <w:rPr>
          <w:rFonts w:ascii="Arial" w:hAnsi="Arial" w:cs="Arial"/>
          <w:b/>
        </w:rPr>
        <w:t xml:space="preserve">: Professional </w:t>
      </w:r>
      <w:r w:rsidR="00504EC0">
        <w:rPr>
          <w:rFonts w:ascii="Arial" w:hAnsi="Arial" w:cs="Arial"/>
          <w:b/>
        </w:rPr>
        <w:t>p</w:t>
      </w:r>
      <w:r w:rsidRPr="00F559B5">
        <w:rPr>
          <w:rFonts w:ascii="Arial" w:hAnsi="Arial" w:cs="Arial"/>
          <w:b/>
        </w:rPr>
        <w:t xml:space="preserve">ractice </w:t>
      </w:r>
      <w:r w:rsidR="00504EC0">
        <w:rPr>
          <w:rFonts w:ascii="Arial" w:hAnsi="Arial" w:cs="Arial"/>
          <w:b/>
        </w:rPr>
        <w:t>p</w:t>
      </w:r>
      <w:r w:rsidRPr="00F559B5">
        <w:rPr>
          <w:rFonts w:ascii="Arial" w:hAnsi="Arial" w:cs="Arial"/>
          <w:b/>
        </w:rPr>
        <w:t xml:space="preserve">rofile – </w:t>
      </w:r>
      <w:r>
        <w:rPr>
          <w:rFonts w:ascii="Arial" w:hAnsi="Arial" w:cs="Arial"/>
          <w:b/>
        </w:rPr>
        <w:t xml:space="preserve">Complex </w:t>
      </w:r>
      <w:r w:rsidR="00504EC0">
        <w:rPr>
          <w:rFonts w:ascii="Arial" w:hAnsi="Arial" w:cs="Arial"/>
          <w:b/>
        </w:rPr>
        <w:t>c</w:t>
      </w:r>
      <w:r>
        <w:rPr>
          <w:rFonts w:ascii="Arial" w:hAnsi="Arial" w:cs="Arial"/>
          <w:b/>
        </w:rPr>
        <w:t xml:space="preserve">ompounding </w:t>
      </w:r>
      <w:r w:rsidR="00504EC0">
        <w:rPr>
          <w:rFonts w:ascii="Arial" w:hAnsi="Arial" w:cs="Arial"/>
          <w:b/>
        </w:rPr>
        <w:t>p</w:t>
      </w:r>
      <w:r>
        <w:rPr>
          <w:rFonts w:ascii="Arial" w:hAnsi="Arial" w:cs="Arial"/>
          <w:b/>
        </w:rPr>
        <w:t>harmacist</w:t>
      </w:r>
    </w:p>
    <w:tbl>
      <w:tblPr>
        <w:tblW w:w="918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536"/>
        <w:gridCol w:w="1531"/>
        <w:gridCol w:w="1531"/>
        <w:gridCol w:w="1588"/>
      </w:tblGrid>
      <w:tr w:rsidR="00E10391" w:rsidRPr="00914291" w:rsidTr="00A66271">
        <w:trPr>
          <w:cantSplit/>
        </w:trPr>
        <w:tc>
          <w:tcPr>
            <w:tcW w:w="4536" w:type="dxa"/>
          </w:tcPr>
          <w:p w:rsidR="00E10391" w:rsidRPr="00914291" w:rsidRDefault="00E10391" w:rsidP="00A66271">
            <w:pPr>
              <w:spacing w:before="20" w:after="20"/>
              <w:rPr>
                <w:rFonts w:ascii="Arial" w:hAnsi="Arial" w:cs="Arial"/>
                <w:b/>
              </w:rPr>
            </w:pPr>
            <w:r w:rsidRPr="00914291">
              <w:rPr>
                <w:rFonts w:ascii="Arial" w:hAnsi="Arial" w:cs="Arial"/>
                <w:b/>
              </w:rPr>
              <w:t>Domain</w:t>
            </w:r>
          </w:p>
          <w:p w:rsidR="00E10391" w:rsidRPr="00914291" w:rsidRDefault="00E10391" w:rsidP="00A66271">
            <w:pPr>
              <w:spacing w:before="20" w:after="20"/>
              <w:rPr>
                <w:rFonts w:ascii="Arial" w:hAnsi="Arial" w:cs="Arial"/>
              </w:rPr>
            </w:pPr>
            <w:r w:rsidRPr="00914291">
              <w:rPr>
                <w:rFonts w:ascii="Arial" w:hAnsi="Arial" w:cs="Arial"/>
              </w:rPr>
              <w:t>(* = universally applicable</w:t>
            </w:r>
            <w:r>
              <w:rPr>
                <w:rFonts w:ascii="Arial" w:hAnsi="Arial" w:cs="Arial"/>
              </w:rPr>
              <w:t xml:space="preserve"> competencies</w:t>
            </w:r>
            <w:r w:rsidRPr="00914291">
              <w:rPr>
                <w:rFonts w:ascii="Arial" w:hAnsi="Arial" w:cs="Arial"/>
              </w:rPr>
              <w:t>)</w:t>
            </w:r>
          </w:p>
        </w:tc>
        <w:tc>
          <w:tcPr>
            <w:tcW w:w="1531" w:type="dxa"/>
          </w:tcPr>
          <w:p w:rsidR="00E10391" w:rsidRPr="00914291" w:rsidRDefault="00E10391" w:rsidP="00A66271">
            <w:pPr>
              <w:spacing w:before="20" w:after="20"/>
              <w:rPr>
                <w:rFonts w:ascii="Arial" w:hAnsi="Arial" w:cs="Arial"/>
                <w:b/>
              </w:rPr>
            </w:pPr>
            <w:r w:rsidRPr="00914291">
              <w:rPr>
                <w:rFonts w:ascii="Arial" w:hAnsi="Arial" w:cs="Arial"/>
                <w:b/>
              </w:rPr>
              <w:t>Standards</w:t>
            </w:r>
          </w:p>
        </w:tc>
        <w:tc>
          <w:tcPr>
            <w:tcW w:w="1531" w:type="dxa"/>
          </w:tcPr>
          <w:p w:rsidR="00E10391" w:rsidRPr="00914291" w:rsidRDefault="00E10391" w:rsidP="00A66271">
            <w:pPr>
              <w:spacing w:before="20" w:after="20"/>
              <w:rPr>
                <w:rFonts w:ascii="Arial" w:hAnsi="Arial" w:cs="Arial"/>
                <w:b/>
              </w:rPr>
            </w:pPr>
            <w:r w:rsidRPr="00914291">
              <w:rPr>
                <w:rFonts w:ascii="Arial" w:hAnsi="Arial" w:cs="Arial"/>
                <w:b/>
              </w:rPr>
              <w:t>Elements</w:t>
            </w:r>
          </w:p>
        </w:tc>
        <w:tc>
          <w:tcPr>
            <w:tcW w:w="1588" w:type="dxa"/>
          </w:tcPr>
          <w:p w:rsidR="00E10391" w:rsidRPr="00914291" w:rsidRDefault="00E10391" w:rsidP="00545AE5">
            <w:pPr>
              <w:spacing w:before="20" w:after="20"/>
              <w:rPr>
                <w:rFonts w:ascii="Arial" w:hAnsi="Arial" w:cs="Arial"/>
                <w:b/>
              </w:rPr>
            </w:pPr>
            <w:r w:rsidRPr="00914291">
              <w:rPr>
                <w:rFonts w:ascii="Arial" w:hAnsi="Arial" w:cs="Arial"/>
                <w:b/>
              </w:rPr>
              <w:t xml:space="preserve">Performance </w:t>
            </w:r>
            <w:r w:rsidR="00545AE5">
              <w:rPr>
                <w:rFonts w:ascii="Arial" w:hAnsi="Arial" w:cs="Arial"/>
                <w:b/>
              </w:rPr>
              <w:t>c</w:t>
            </w:r>
            <w:r w:rsidRPr="00914291">
              <w:rPr>
                <w:rFonts w:ascii="Arial" w:hAnsi="Arial" w:cs="Arial"/>
                <w:b/>
              </w:rPr>
              <w:t>riteria</w:t>
            </w:r>
          </w:p>
        </w:tc>
      </w:tr>
      <w:tr w:rsidR="00E10391" w:rsidRPr="00A77758" w:rsidTr="00A66271">
        <w:trPr>
          <w:cantSplit/>
        </w:trPr>
        <w:tc>
          <w:tcPr>
            <w:tcW w:w="4536" w:type="dxa"/>
          </w:tcPr>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1 – Professional and ethical practice*</w:t>
            </w:r>
          </w:p>
          <w:p w:rsidR="00E10391" w:rsidRPr="00A77758" w:rsidRDefault="00E10391" w:rsidP="00A66271">
            <w:pPr>
              <w:spacing w:before="20" w:after="20"/>
              <w:rPr>
                <w:rFonts w:ascii="Arial" w:hAnsi="Arial" w:cs="Arial"/>
                <w:sz w:val="20"/>
                <w:szCs w:val="20"/>
              </w:rPr>
            </w:pPr>
          </w:p>
        </w:tc>
        <w:tc>
          <w:tcPr>
            <w:tcW w:w="1531" w:type="dxa"/>
          </w:tcPr>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All</w:t>
            </w:r>
          </w:p>
        </w:tc>
        <w:tc>
          <w:tcPr>
            <w:tcW w:w="1531" w:type="dxa"/>
          </w:tcPr>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All</w:t>
            </w:r>
          </w:p>
        </w:tc>
        <w:tc>
          <w:tcPr>
            <w:tcW w:w="1588" w:type="dxa"/>
          </w:tcPr>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All</w:t>
            </w:r>
          </w:p>
        </w:tc>
      </w:tr>
      <w:tr w:rsidR="00E10391" w:rsidRPr="00A77758" w:rsidTr="00A66271">
        <w:trPr>
          <w:cantSplit/>
        </w:trPr>
        <w:tc>
          <w:tcPr>
            <w:tcW w:w="4536" w:type="dxa"/>
          </w:tcPr>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2 – Communication, collaboration and self-management*</w:t>
            </w:r>
          </w:p>
          <w:p w:rsidR="00E10391" w:rsidRPr="00A77758" w:rsidRDefault="00E10391" w:rsidP="00A66271">
            <w:pPr>
              <w:spacing w:before="20" w:after="20"/>
              <w:rPr>
                <w:rFonts w:ascii="Arial" w:hAnsi="Arial" w:cs="Arial"/>
                <w:sz w:val="20"/>
                <w:szCs w:val="20"/>
              </w:rPr>
            </w:pPr>
          </w:p>
        </w:tc>
        <w:tc>
          <w:tcPr>
            <w:tcW w:w="1531" w:type="dxa"/>
          </w:tcPr>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All</w:t>
            </w:r>
          </w:p>
        </w:tc>
        <w:tc>
          <w:tcPr>
            <w:tcW w:w="1531" w:type="dxa"/>
          </w:tcPr>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All</w:t>
            </w:r>
          </w:p>
        </w:tc>
        <w:tc>
          <w:tcPr>
            <w:tcW w:w="1588" w:type="dxa"/>
          </w:tcPr>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All</w:t>
            </w:r>
          </w:p>
        </w:tc>
      </w:tr>
      <w:tr w:rsidR="00E10391" w:rsidRPr="00A77758" w:rsidTr="00A66271">
        <w:trPr>
          <w:cantSplit/>
        </w:trPr>
        <w:tc>
          <w:tcPr>
            <w:tcW w:w="4536" w:type="dxa"/>
          </w:tcPr>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4 – Review and supply prescribed medicines</w:t>
            </w:r>
          </w:p>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 xml:space="preserve"> </w:t>
            </w:r>
          </w:p>
        </w:tc>
        <w:tc>
          <w:tcPr>
            <w:tcW w:w="1531" w:type="dxa"/>
          </w:tcPr>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All</w:t>
            </w:r>
          </w:p>
        </w:tc>
        <w:tc>
          <w:tcPr>
            <w:tcW w:w="1531" w:type="dxa"/>
          </w:tcPr>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All</w:t>
            </w:r>
          </w:p>
        </w:tc>
        <w:tc>
          <w:tcPr>
            <w:tcW w:w="1588" w:type="dxa"/>
          </w:tcPr>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All</w:t>
            </w:r>
          </w:p>
        </w:tc>
      </w:tr>
      <w:tr w:rsidR="00E10391" w:rsidRPr="00A77758" w:rsidTr="00A66271">
        <w:trPr>
          <w:cantSplit/>
        </w:trPr>
        <w:tc>
          <w:tcPr>
            <w:tcW w:w="4536" w:type="dxa"/>
          </w:tcPr>
          <w:p w:rsidR="00E10391" w:rsidRPr="00A77758" w:rsidRDefault="00E10391" w:rsidP="00A66271">
            <w:pPr>
              <w:pStyle w:val="FootnoteText"/>
              <w:spacing w:before="20" w:after="20"/>
              <w:rPr>
                <w:rFonts w:ascii="Arial" w:hAnsi="Arial" w:cs="Arial"/>
              </w:rPr>
            </w:pPr>
            <w:r w:rsidRPr="00A77758">
              <w:rPr>
                <w:rFonts w:ascii="Arial" w:hAnsi="Arial" w:cs="Arial"/>
              </w:rPr>
              <w:t>5 – Prepare pharmaceutical products</w:t>
            </w:r>
          </w:p>
        </w:tc>
        <w:tc>
          <w:tcPr>
            <w:tcW w:w="1531" w:type="dxa"/>
          </w:tcPr>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5.1</w:t>
            </w:r>
          </w:p>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5.2</w:t>
            </w:r>
          </w:p>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5.3</w:t>
            </w:r>
          </w:p>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5.4</w:t>
            </w:r>
          </w:p>
          <w:p w:rsidR="00E10391" w:rsidRPr="00A77758" w:rsidRDefault="00E10391" w:rsidP="00A66271">
            <w:pPr>
              <w:spacing w:before="20" w:after="20"/>
              <w:rPr>
                <w:rFonts w:ascii="Arial" w:hAnsi="Arial" w:cs="Arial"/>
                <w:sz w:val="20"/>
                <w:szCs w:val="20"/>
              </w:rPr>
            </w:pPr>
          </w:p>
        </w:tc>
        <w:tc>
          <w:tcPr>
            <w:tcW w:w="1531" w:type="dxa"/>
          </w:tcPr>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All</w:t>
            </w:r>
          </w:p>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All</w:t>
            </w:r>
          </w:p>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All</w:t>
            </w:r>
          </w:p>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All</w:t>
            </w:r>
          </w:p>
        </w:tc>
        <w:tc>
          <w:tcPr>
            <w:tcW w:w="1588" w:type="dxa"/>
          </w:tcPr>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All</w:t>
            </w:r>
          </w:p>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All</w:t>
            </w:r>
          </w:p>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All</w:t>
            </w:r>
          </w:p>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All</w:t>
            </w:r>
          </w:p>
        </w:tc>
      </w:tr>
      <w:tr w:rsidR="00E10391" w:rsidRPr="00A77758" w:rsidTr="00A66271">
        <w:trPr>
          <w:cantSplit/>
        </w:trPr>
        <w:tc>
          <w:tcPr>
            <w:tcW w:w="4536" w:type="dxa"/>
          </w:tcPr>
          <w:p w:rsidR="00E10391" w:rsidRPr="00A77758" w:rsidRDefault="00E10391" w:rsidP="00A66271">
            <w:pPr>
              <w:pStyle w:val="FootnoteText"/>
              <w:spacing w:before="20" w:after="20"/>
              <w:rPr>
                <w:rFonts w:ascii="Arial" w:hAnsi="Arial" w:cs="Arial"/>
              </w:rPr>
            </w:pPr>
            <w:r w:rsidRPr="00A77758">
              <w:rPr>
                <w:rFonts w:ascii="Arial" w:hAnsi="Arial" w:cs="Arial"/>
              </w:rPr>
              <w:t>6 – Deliver primary and preventative health care</w:t>
            </w:r>
          </w:p>
        </w:tc>
        <w:tc>
          <w:tcPr>
            <w:tcW w:w="1531" w:type="dxa"/>
          </w:tcPr>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6.1</w:t>
            </w:r>
          </w:p>
          <w:p w:rsidR="00E10391" w:rsidRDefault="00E10391" w:rsidP="00A66271">
            <w:pPr>
              <w:spacing w:before="20" w:after="20"/>
              <w:rPr>
                <w:rFonts w:ascii="Arial" w:hAnsi="Arial" w:cs="Arial"/>
                <w:sz w:val="20"/>
                <w:szCs w:val="20"/>
              </w:rPr>
            </w:pPr>
            <w:r w:rsidRPr="00A77758">
              <w:rPr>
                <w:rFonts w:ascii="Arial" w:hAnsi="Arial" w:cs="Arial"/>
                <w:sz w:val="20"/>
                <w:szCs w:val="20"/>
              </w:rPr>
              <w:t>6.2</w:t>
            </w:r>
          </w:p>
          <w:p w:rsidR="00E10391" w:rsidRDefault="00E10391" w:rsidP="00A66271">
            <w:pPr>
              <w:spacing w:before="20" w:after="20"/>
              <w:rPr>
                <w:rFonts w:ascii="Arial" w:hAnsi="Arial" w:cs="Arial"/>
                <w:sz w:val="20"/>
                <w:szCs w:val="20"/>
              </w:rPr>
            </w:pPr>
          </w:p>
          <w:p w:rsidR="00E10391" w:rsidRDefault="00E10391" w:rsidP="00A66271">
            <w:pPr>
              <w:spacing w:before="20" w:after="20"/>
              <w:rPr>
                <w:rFonts w:ascii="Arial" w:hAnsi="Arial" w:cs="Arial"/>
                <w:sz w:val="20"/>
                <w:szCs w:val="20"/>
              </w:rPr>
            </w:pPr>
          </w:p>
          <w:p w:rsidR="00E10391" w:rsidRDefault="00E10391" w:rsidP="00A66271">
            <w:pPr>
              <w:spacing w:before="20" w:after="20"/>
              <w:rPr>
                <w:rFonts w:ascii="Arial" w:hAnsi="Arial" w:cs="Arial"/>
                <w:sz w:val="20"/>
                <w:szCs w:val="20"/>
              </w:rPr>
            </w:pPr>
          </w:p>
          <w:p w:rsidR="00E10391" w:rsidRPr="00A77758" w:rsidRDefault="00E10391" w:rsidP="00A66271">
            <w:pPr>
              <w:spacing w:before="20" w:after="20"/>
              <w:rPr>
                <w:rFonts w:ascii="Arial" w:hAnsi="Arial" w:cs="Arial"/>
                <w:sz w:val="20"/>
                <w:szCs w:val="20"/>
              </w:rPr>
            </w:pPr>
            <w:r>
              <w:rPr>
                <w:rFonts w:ascii="Arial" w:hAnsi="Arial" w:cs="Arial"/>
                <w:sz w:val="20"/>
                <w:szCs w:val="20"/>
              </w:rPr>
              <w:t>6.3</w:t>
            </w:r>
          </w:p>
          <w:p w:rsidR="00E10391" w:rsidRPr="00A77758" w:rsidRDefault="00E10391" w:rsidP="00A66271">
            <w:pPr>
              <w:spacing w:before="20" w:after="20"/>
              <w:rPr>
                <w:rFonts w:ascii="Arial" w:hAnsi="Arial" w:cs="Arial"/>
                <w:sz w:val="20"/>
                <w:szCs w:val="20"/>
              </w:rPr>
            </w:pPr>
          </w:p>
        </w:tc>
        <w:tc>
          <w:tcPr>
            <w:tcW w:w="1531" w:type="dxa"/>
          </w:tcPr>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All</w:t>
            </w:r>
          </w:p>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1</w:t>
            </w:r>
          </w:p>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2</w:t>
            </w:r>
          </w:p>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3</w:t>
            </w:r>
          </w:p>
          <w:p w:rsidR="00E10391" w:rsidRDefault="00E10391" w:rsidP="00A66271">
            <w:pPr>
              <w:spacing w:before="20" w:after="20"/>
              <w:rPr>
                <w:rFonts w:ascii="Arial" w:hAnsi="Arial" w:cs="Arial"/>
                <w:sz w:val="20"/>
                <w:szCs w:val="20"/>
              </w:rPr>
            </w:pPr>
            <w:r w:rsidRPr="00A77758">
              <w:rPr>
                <w:rFonts w:ascii="Arial" w:hAnsi="Arial" w:cs="Arial"/>
                <w:sz w:val="20"/>
                <w:szCs w:val="20"/>
              </w:rPr>
              <w:t>5</w:t>
            </w:r>
          </w:p>
          <w:p w:rsidR="00E10391" w:rsidRPr="00A77758" w:rsidRDefault="00E10391" w:rsidP="00A66271">
            <w:pPr>
              <w:spacing w:before="20" w:after="20"/>
              <w:rPr>
                <w:rFonts w:ascii="Arial" w:hAnsi="Arial" w:cs="Arial"/>
                <w:sz w:val="20"/>
                <w:szCs w:val="20"/>
              </w:rPr>
            </w:pPr>
            <w:r>
              <w:rPr>
                <w:rFonts w:ascii="Arial" w:hAnsi="Arial" w:cs="Arial"/>
                <w:sz w:val="20"/>
                <w:szCs w:val="20"/>
              </w:rPr>
              <w:t>3</w:t>
            </w:r>
          </w:p>
        </w:tc>
        <w:tc>
          <w:tcPr>
            <w:tcW w:w="1588" w:type="dxa"/>
          </w:tcPr>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All</w:t>
            </w:r>
          </w:p>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All</w:t>
            </w:r>
          </w:p>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All</w:t>
            </w:r>
          </w:p>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1 – 2, 4</w:t>
            </w:r>
          </w:p>
          <w:p w:rsidR="00E10391" w:rsidRDefault="00E10391" w:rsidP="00A66271">
            <w:pPr>
              <w:spacing w:before="20" w:after="20"/>
              <w:rPr>
                <w:rFonts w:ascii="Arial" w:hAnsi="Arial" w:cs="Arial"/>
                <w:sz w:val="20"/>
                <w:szCs w:val="20"/>
              </w:rPr>
            </w:pPr>
            <w:r w:rsidRPr="00A77758">
              <w:rPr>
                <w:rFonts w:ascii="Arial" w:hAnsi="Arial" w:cs="Arial"/>
                <w:sz w:val="20"/>
                <w:szCs w:val="20"/>
              </w:rPr>
              <w:t>All</w:t>
            </w:r>
          </w:p>
          <w:p w:rsidR="00E10391" w:rsidRPr="00A77758" w:rsidRDefault="00E10391" w:rsidP="00A66271">
            <w:pPr>
              <w:spacing w:before="20" w:after="20"/>
              <w:rPr>
                <w:rFonts w:ascii="Arial" w:hAnsi="Arial" w:cs="Arial"/>
                <w:sz w:val="20"/>
                <w:szCs w:val="20"/>
              </w:rPr>
            </w:pPr>
            <w:r>
              <w:rPr>
                <w:rFonts w:ascii="Arial" w:hAnsi="Arial" w:cs="Arial"/>
                <w:sz w:val="20"/>
                <w:szCs w:val="20"/>
              </w:rPr>
              <w:t>All</w:t>
            </w:r>
          </w:p>
        </w:tc>
      </w:tr>
      <w:tr w:rsidR="00E10391" w:rsidRPr="00A77758" w:rsidTr="00A66271">
        <w:trPr>
          <w:cantSplit/>
        </w:trPr>
        <w:tc>
          <w:tcPr>
            <w:tcW w:w="4536" w:type="dxa"/>
          </w:tcPr>
          <w:p w:rsidR="00E10391" w:rsidRPr="00A77758" w:rsidRDefault="00E10391" w:rsidP="00A66271">
            <w:pPr>
              <w:pStyle w:val="FootnoteText"/>
              <w:spacing w:before="20" w:after="20"/>
              <w:rPr>
                <w:rFonts w:ascii="Arial" w:hAnsi="Arial" w:cs="Arial"/>
              </w:rPr>
            </w:pPr>
            <w:r w:rsidRPr="00A77758">
              <w:rPr>
                <w:rFonts w:ascii="Arial" w:hAnsi="Arial" w:cs="Arial"/>
              </w:rPr>
              <w:t>8 – Critical analysis, research and education</w:t>
            </w:r>
          </w:p>
        </w:tc>
        <w:tc>
          <w:tcPr>
            <w:tcW w:w="1531" w:type="dxa"/>
          </w:tcPr>
          <w:p w:rsidR="00E10391" w:rsidRDefault="00E10391" w:rsidP="00A66271">
            <w:pPr>
              <w:spacing w:before="20" w:after="20"/>
              <w:rPr>
                <w:rFonts w:ascii="Arial" w:hAnsi="Arial" w:cs="Arial"/>
                <w:sz w:val="20"/>
                <w:szCs w:val="20"/>
              </w:rPr>
            </w:pPr>
            <w:r w:rsidRPr="00A77758">
              <w:rPr>
                <w:rFonts w:ascii="Arial" w:hAnsi="Arial" w:cs="Arial"/>
                <w:sz w:val="20"/>
                <w:szCs w:val="20"/>
              </w:rPr>
              <w:t>8.1</w:t>
            </w:r>
          </w:p>
          <w:p w:rsidR="00E10391" w:rsidRDefault="00E10391" w:rsidP="00A66271">
            <w:pPr>
              <w:spacing w:before="20" w:after="20"/>
              <w:rPr>
                <w:rFonts w:ascii="Arial" w:hAnsi="Arial" w:cs="Arial"/>
                <w:sz w:val="20"/>
                <w:szCs w:val="20"/>
              </w:rPr>
            </w:pPr>
          </w:p>
          <w:p w:rsidR="00E10391" w:rsidRDefault="00E10391" w:rsidP="00A66271">
            <w:pPr>
              <w:spacing w:before="20" w:after="20"/>
              <w:rPr>
                <w:rFonts w:ascii="Arial" w:hAnsi="Arial" w:cs="Arial"/>
                <w:sz w:val="20"/>
                <w:szCs w:val="20"/>
              </w:rPr>
            </w:pPr>
          </w:p>
          <w:p w:rsidR="00E10391" w:rsidRDefault="00E10391" w:rsidP="00A66271">
            <w:pPr>
              <w:spacing w:before="20" w:after="20"/>
              <w:rPr>
                <w:rFonts w:ascii="Arial" w:hAnsi="Arial" w:cs="Arial"/>
                <w:sz w:val="20"/>
                <w:szCs w:val="20"/>
              </w:rPr>
            </w:pPr>
          </w:p>
          <w:p w:rsidR="00E10391" w:rsidRPr="00A77758" w:rsidRDefault="00E10391" w:rsidP="00A66271">
            <w:pPr>
              <w:spacing w:before="20" w:after="20"/>
              <w:rPr>
                <w:rFonts w:ascii="Arial" w:hAnsi="Arial" w:cs="Arial"/>
                <w:sz w:val="20"/>
                <w:szCs w:val="20"/>
              </w:rPr>
            </w:pPr>
            <w:r>
              <w:rPr>
                <w:rFonts w:ascii="Arial" w:hAnsi="Arial" w:cs="Arial"/>
                <w:sz w:val="20"/>
                <w:szCs w:val="20"/>
              </w:rPr>
              <w:t>8.2</w:t>
            </w:r>
          </w:p>
          <w:p w:rsidR="00E10391" w:rsidRPr="00A77758" w:rsidRDefault="00E10391" w:rsidP="00A66271">
            <w:pPr>
              <w:spacing w:before="20" w:after="20"/>
              <w:rPr>
                <w:rFonts w:ascii="Arial" w:hAnsi="Arial" w:cs="Arial"/>
                <w:sz w:val="20"/>
                <w:szCs w:val="20"/>
              </w:rPr>
            </w:pPr>
          </w:p>
        </w:tc>
        <w:tc>
          <w:tcPr>
            <w:tcW w:w="1531" w:type="dxa"/>
          </w:tcPr>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1</w:t>
            </w:r>
          </w:p>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2</w:t>
            </w:r>
          </w:p>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 xml:space="preserve">3 </w:t>
            </w:r>
          </w:p>
          <w:p w:rsidR="00E10391" w:rsidRDefault="00E10391" w:rsidP="00A66271">
            <w:pPr>
              <w:spacing w:before="20" w:after="20"/>
              <w:rPr>
                <w:rFonts w:ascii="Arial" w:hAnsi="Arial" w:cs="Arial"/>
                <w:sz w:val="20"/>
                <w:szCs w:val="20"/>
              </w:rPr>
            </w:pPr>
            <w:r w:rsidRPr="00A77758">
              <w:rPr>
                <w:rFonts w:ascii="Arial" w:hAnsi="Arial" w:cs="Arial"/>
                <w:sz w:val="20"/>
                <w:szCs w:val="20"/>
              </w:rPr>
              <w:t>4</w:t>
            </w:r>
          </w:p>
          <w:p w:rsidR="00E10391" w:rsidRPr="00A77758" w:rsidRDefault="00E10391" w:rsidP="00A66271">
            <w:pPr>
              <w:spacing w:before="20" w:after="20"/>
              <w:rPr>
                <w:rFonts w:ascii="Arial" w:hAnsi="Arial" w:cs="Arial"/>
                <w:sz w:val="20"/>
                <w:szCs w:val="20"/>
              </w:rPr>
            </w:pPr>
            <w:r>
              <w:rPr>
                <w:rFonts w:ascii="Arial" w:hAnsi="Arial" w:cs="Arial"/>
                <w:sz w:val="20"/>
                <w:szCs w:val="20"/>
              </w:rPr>
              <w:t>All</w:t>
            </w:r>
          </w:p>
        </w:tc>
        <w:tc>
          <w:tcPr>
            <w:tcW w:w="1588" w:type="dxa"/>
          </w:tcPr>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1 - 5</w:t>
            </w:r>
          </w:p>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All</w:t>
            </w:r>
          </w:p>
          <w:p w:rsidR="00E10391" w:rsidRPr="00A77758" w:rsidRDefault="00E10391" w:rsidP="00A66271">
            <w:pPr>
              <w:spacing w:before="20" w:after="20"/>
              <w:rPr>
                <w:rFonts w:ascii="Arial" w:hAnsi="Arial" w:cs="Arial"/>
                <w:sz w:val="20"/>
                <w:szCs w:val="20"/>
              </w:rPr>
            </w:pPr>
            <w:r w:rsidRPr="00A77758">
              <w:rPr>
                <w:rFonts w:ascii="Arial" w:hAnsi="Arial" w:cs="Arial"/>
                <w:sz w:val="20"/>
                <w:szCs w:val="20"/>
              </w:rPr>
              <w:t>All</w:t>
            </w:r>
          </w:p>
          <w:p w:rsidR="00E10391" w:rsidRDefault="00E10391" w:rsidP="00A66271">
            <w:pPr>
              <w:spacing w:before="20" w:after="20"/>
              <w:rPr>
                <w:rFonts w:ascii="Arial" w:hAnsi="Arial" w:cs="Arial"/>
                <w:sz w:val="20"/>
                <w:szCs w:val="20"/>
              </w:rPr>
            </w:pPr>
            <w:r w:rsidRPr="00A77758">
              <w:rPr>
                <w:rFonts w:ascii="Arial" w:hAnsi="Arial" w:cs="Arial"/>
                <w:sz w:val="20"/>
                <w:szCs w:val="20"/>
              </w:rPr>
              <w:t>All</w:t>
            </w:r>
          </w:p>
          <w:p w:rsidR="00E10391" w:rsidRPr="00A77758" w:rsidRDefault="00E10391" w:rsidP="00A66271">
            <w:pPr>
              <w:spacing w:before="20" w:after="20"/>
              <w:rPr>
                <w:rFonts w:ascii="Arial" w:hAnsi="Arial" w:cs="Arial"/>
                <w:sz w:val="20"/>
                <w:szCs w:val="20"/>
              </w:rPr>
            </w:pPr>
            <w:r>
              <w:rPr>
                <w:rFonts w:ascii="Arial" w:hAnsi="Arial" w:cs="Arial"/>
                <w:sz w:val="20"/>
                <w:szCs w:val="20"/>
              </w:rPr>
              <w:t>All</w:t>
            </w:r>
          </w:p>
        </w:tc>
      </w:tr>
    </w:tbl>
    <w:p w:rsidR="00E10391" w:rsidRPr="00914291" w:rsidRDefault="00E10391" w:rsidP="00E10391">
      <w:pPr>
        <w:rPr>
          <w:rFonts w:ascii="Arial" w:hAnsi="Arial" w:cs="Arial"/>
        </w:rPr>
      </w:pPr>
    </w:p>
    <w:p w:rsidR="00E10391" w:rsidRDefault="00E10391" w:rsidP="00E10391">
      <w:pPr>
        <w:spacing w:line="276" w:lineRule="auto"/>
        <w:rPr>
          <w:rFonts w:ascii="Arial" w:hAnsi="Arial" w:cs="Arial"/>
          <w:b/>
          <w:spacing w:val="-3"/>
          <w:sz w:val="22"/>
          <w:szCs w:val="22"/>
        </w:rPr>
      </w:pPr>
      <w:r>
        <w:rPr>
          <w:rFonts w:ascii="Arial" w:hAnsi="Arial" w:cs="Arial"/>
          <w:sz w:val="22"/>
          <w:szCs w:val="22"/>
        </w:rPr>
        <w:br w:type="page"/>
      </w:r>
    </w:p>
    <w:p w:rsidR="00E10391" w:rsidRPr="00A77758" w:rsidRDefault="00E10391" w:rsidP="00E10391">
      <w:pPr>
        <w:pStyle w:val="Heading2"/>
        <w:jc w:val="center"/>
        <w:rPr>
          <w:rFonts w:ascii="Arial" w:hAnsi="Arial" w:cs="Arial"/>
          <w:i w:val="0"/>
        </w:rPr>
      </w:pPr>
      <w:bookmarkStart w:id="6" w:name="_Toc377638228"/>
      <w:r w:rsidRPr="00A77758">
        <w:rPr>
          <w:rFonts w:ascii="Arial" w:hAnsi="Arial" w:cs="Arial"/>
          <w:i w:val="0"/>
          <w:color w:val="FF0000"/>
        </w:rPr>
        <w:lastRenderedPageBreak/>
        <w:t>Domain 1:</w:t>
      </w:r>
      <w:r w:rsidRPr="00A77758">
        <w:rPr>
          <w:rFonts w:ascii="Arial" w:hAnsi="Arial" w:cs="Arial"/>
          <w:i w:val="0"/>
        </w:rPr>
        <w:t xml:space="preserve"> Professional and ethical practice</w:t>
      </w:r>
      <w:bookmarkEnd w:id="6"/>
    </w:p>
    <w:p w:rsidR="00E10391" w:rsidRPr="00A77758" w:rsidRDefault="00E10391" w:rsidP="00E10391">
      <w:pPr>
        <w:pStyle w:val="Heading3"/>
        <w:rPr>
          <w:rFonts w:ascii="Arial" w:hAnsi="Arial" w:cs="Arial"/>
        </w:rPr>
      </w:pPr>
      <w:bookmarkStart w:id="7" w:name="_Toc377638229"/>
      <w:r w:rsidRPr="00A77758">
        <w:rPr>
          <w:rFonts w:ascii="Arial" w:hAnsi="Arial" w:cs="Arial"/>
          <w:color w:val="FF0000"/>
        </w:rPr>
        <w:t>Standard 1.1</w:t>
      </w:r>
      <w:r w:rsidRPr="00A77758">
        <w:rPr>
          <w:rFonts w:ascii="Arial" w:hAnsi="Arial" w:cs="Arial"/>
        </w:rPr>
        <w:t xml:space="preserve"> Practise legally</w:t>
      </w:r>
      <w:r w:rsidRPr="00A77758">
        <w:rPr>
          <w:rStyle w:val="FootnoteReference"/>
          <w:rFonts w:ascii="Arial" w:hAnsi="Arial" w:cs="Arial"/>
          <w:b w:val="0"/>
          <w:sz w:val="18"/>
          <w:szCs w:val="18"/>
        </w:rPr>
        <w:footnoteReference w:id="4"/>
      </w:r>
      <w:bookmarkEnd w:id="7"/>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1"/>
        <w:gridCol w:w="6237"/>
      </w:tblGrid>
      <w:tr w:rsidR="00E10391" w:rsidRPr="00F559B5" w:rsidTr="00A66271">
        <w:trPr>
          <w:cantSplit/>
          <w:tblHeader/>
          <w:jc w:val="center"/>
        </w:trPr>
        <w:tc>
          <w:tcPr>
            <w:tcW w:w="3521" w:type="dxa"/>
            <w:tcBorders>
              <w:top w:val="nil"/>
              <w:left w:val="nil"/>
              <w:right w:val="nil"/>
            </w:tcBorders>
          </w:tcPr>
          <w:p w:rsidR="00E10391" w:rsidRPr="00F559B5" w:rsidRDefault="00E10391" w:rsidP="00A66271">
            <w:pPr>
              <w:spacing w:before="40" w:after="40"/>
              <w:rPr>
                <w:rFonts w:ascii="Arial" w:hAnsi="Arial" w:cs="Arial"/>
                <w:b/>
                <w:sz w:val="18"/>
                <w:szCs w:val="18"/>
              </w:rPr>
            </w:pPr>
          </w:p>
        </w:tc>
        <w:tc>
          <w:tcPr>
            <w:tcW w:w="6237" w:type="dxa"/>
            <w:tcBorders>
              <w:top w:val="nil"/>
              <w:left w:val="nil"/>
              <w:right w:val="nil"/>
            </w:tcBorders>
          </w:tcPr>
          <w:p w:rsidR="00E10391" w:rsidRPr="00F559B5" w:rsidRDefault="00E10391" w:rsidP="00A66271">
            <w:pPr>
              <w:spacing w:before="40" w:after="40"/>
              <w:ind w:left="284" w:hanging="284"/>
              <w:jc w:val="right"/>
              <w:rPr>
                <w:rFonts w:ascii="Arial" w:hAnsi="Arial" w:cs="Arial"/>
                <w:b/>
                <w:i/>
                <w:sz w:val="18"/>
                <w:szCs w:val="18"/>
              </w:rPr>
            </w:pPr>
          </w:p>
        </w:tc>
      </w:tr>
      <w:tr w:rsidR="00E10391" w:rsidRPr="00F559B5" w:rsidTr="00A66271">
        <w:trPr>
          <w:cantSplit/>
          <w:tblHeader/>
          <w:jc w:val="center"/>
        </w:trPr>
        <w:tc>
          <w:tcPr>
            <w:tcW w:w="3521" w:type="dxa"/>
            <w:tcBorders>
              <w:bottom w:val="single" w:sz="4" w:space="0" w:color="auto"/>
            </w:tcBorders>
            <w:shd w:val="clear" w:color="auto" w:fill="548DD4" w:themeFill="text2" w:themeFillTint="99"/>
          </w:tcPr>
          <w:p w:rsidR="00E10391" w:rsidRPr="00F559B5" w:rsidRDefault="00E10391" w:rsidP="00186360">
            <w:pPr>
              <w:spacing w:before="40" w:after="40"/>
              <w:ind w:left="567" w:hanging="567"/>
              <w:rPr>
                <w:rFonts w:ascii="Arial" w:hAnsi="Arial" w:cs="Arial"/>
                <w:b/>
                <w:sz w:val="18"/>
                <w:szCs w:val="18"/>
              </w:rPr>
            </w:pPr>
            <w:r w:rsidRPr="00F559B5">
              <w:rPr>
                <w:rFonts w:ascii="Arial" w:hAnsi="Arial" w:cs="Arial"/>
                <w:b/>
                <w:sz w:val="18"/>
                <w:szCs w:val="18"/>
              </w:rPr>
              <w:t xml:space="preserve">Performance </w:t>
            </w:r>
            <w:r w:rsidR="00186360">
              <w:rPr>
                <w:rFonts w:ascii="Arial" w:hAnsi="Arial" w:cs="Arial"/>
                <w:b/>
                <w:sz w:val="18"/>
                <w:szCs w:val="18"/>
              </w:rPr>
              <w:t>c</w:t>
            </w:r>
            <w:r w:rsidRPr="00F559B5">
              <w:rPr>
                <w:rFonts w:ascii="Arial" w:hAnsi="Arial" w:cs="Arial"/>
                <w:b/>
                <w:sz w:val="18"/>
                <w:szCs w:val="18"/>
              </w:rPr>
              <w:t>riteria</w:t>
            </w:r>
          </w:p>
        </w:tc>
        <w:tc>
          <w:tcPr>
            <w:tcW w:w="6237" w:type="dxa"/>
            <w:tcBorders>
              <w:bottom w:val="single" w:sz="4" w:space="0" w:color="auto"/>
            </w:tcBorders>
            <w:shd w:val="clear" w:color="auto" w:fill="548DD4" w:themeFill="text2" w:themeFillTint="99"/>
          </w:tcPr>
          <w:p w:rsidR="00E10391" w:rsidRPr="00F559B5" w:rsidRDefault="00E10391" w:rsidP="00186360">
            <w:pPr>
              <w:spacing w:before="40" w:after="40"/>
              <w:ind w:left="284" w:hanging="284"/>
              <w:rPr>
                <w:rFonts w:ascii="Arial" w:hAnsi="Arial" w:cs="Arial"/>
                <w:b/>
                <w:sz w:val="18"/>
                <w:szCs w:val="18"/>
              </w:rPr>
            </w:pPr>
            <w:r w:rsidRPr="00F559B5">
              <w:rPr>
                <w:rFonts w:ascii="Arial" w:hAnsi="Arial" w:cs="Arial"/>
                <w:b/>
                <w:sz w:val="18"/>
                <w:szCs w:val="18"/>
              </w:rPr>
              <w:t xml:space="preserve">Evidence </w:t>
            </w:r>
            <w:r w:rsidR="00186360">
              <w:rPr>
                <w:rFonts w:ascii="Arial" w:hAnsi="Arial" w:cs="Arial"/>
                <w:b/>
                <w:sz w:val="18"/>
                <w:szCs w:val="18"/>
              </w:rPr>
              <w:t>e</w:t>
            </w:r>
            <w:r w:rsidRPr="00F559B5">
              <w:rPr>
                <w:rFonts w:ascii="Arial" w:hAnsi="Arial" w:cs="Arial"/>
                <w:b/>
                <w:sz w:val="18"/>
                <w:szCs w:val="18"/>
              </w:rPr>
              <w:t>xamples</w:t>
            </w:r>
          </w:p>
        </w:tc>
      </w:tr>
      <w:tr w:rsidR="00E10391" w:rsidRPr="00F559B5" w:rsidTr="00A66271">
        <w:trPr>
          <w:cantSplit/>
          <w:jc w:val="center"/>
        </w:trPr>
        <w:tc>
          <w:tcPr>
            <w:tcW w:w="9758" w:type="dxa"/>
            <w:gridSpan w:val="2"/>
            <w:tcBorders>
              <w:bottom w:val="single" w:sz="4" w:space="0" w:color="auto"/>
            </w:tcBorders>
            <w:shd w:val="clear" w:color="auto" w:fill="FABF8F" w:themeFill="accent6" w:themeFillTint="99"/>
          </w:tcPr>
          <w:p w:rsidR="00E10391" w:rsidRPr="00F559B5" w:rsidRDefault="00E10391" w:rsidP="00A66271">
            <w:pPr>
              <w:spacing w:before="40" w:after="40"/>
              <w:rPr>
                <w:rFonts w:ascii="Arial" w:hAnsi="Arial" w:cs="Arial"/>
                <w:b/>
                <w:sz w:val="18"/>
                <w:szCs w:val="18"/>
              </w:rPr>
            </w:pPr>
            <w:r w:rsidRPr="00F559B5">
              <w:rPr>
                <w:rFonts w:ascii="Arial" w:hAnsi="Arial" w:cs="Arial"/>
                <w:b/>
                <w:sz w:val="18"/>
                <w:szCs w:val="18"/>
              </w:rPr>
              <w:t>Element 1 – Comply with statute law, guidelines, codes and standards</w:t>
            </w:r>
          </w:p>
        </w:tc>
      </w:tr>
      <w:tr w:rsidR="00E10391" w:rsidRPr="00F559B5" w:rsidTr="00A66271">
        <w:trPr>
          <w:cantSplit/>
          <w:jc w:val="center"/>
        </w:trPr>
        <w:tc>
          <w:tcPr>
            <w:tcW w:w="3521"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1</w:t>
            </w:r>
            <w:r w:rsidRPr="00F559B5">
              <w:rPr>
                <w:rFonts w:ascii="Arial" w:hAnsi="Arial" w:cs="Arial"/>
                <w:sz w:val="18"/>
                <w:szCs w:val="18"/>
              </w:rPr>
              <w:tab/>
              <w:t>Understands the requirements of statute law, professional guidelines, codes and standards that comprise the legislative environment for practice.</w:t>
            </w:r>
          </w:p>
        </w:tc>
        <w:tc>
          <w:tcPr>
            <w:tcW w:w="6237" w:type="dxa"/>
            <w:shd w:val="clear" w:color="auto" w:fill="DBE5F1" w:themeFill="accent1" w:themeFillTint="33"/>
          </w:tcPr>
          <w:p w:rsidR="00E10391" w:rsidRDefault="00E10391" w:rsidP="00E10391">
            <w:pPr>
              <w:pStyle w:val="Header"/>
              <w:numPr>
                <w:ilvl w:val="0"/>
                <w:numId w:val="24"/>
              </w:numPr>
              <w:tabs>
                <w:tab w:val="clear" w:pos="4513"/>
                <w:tab w:val="clear" w:pos="9026"/>
              </w:tabs>
              <w:spacing w:before="40" w:after="40"/>
              <w:ind w:left="284" w:hanging="284"/>
              <w:rPr>
                <w:rFonts w:ascii="Arial" w:hAnsi="Arial" w:cs="Arial"/>
                <w:sz w:val="18"/>
                <w:szCs w:val="18"/>
              </w:rPr>
            </w:pPr>
            <w:r w:rsidRPr="00F559B5">
              <w:rPr>
                <w:rFonts w:ascii="Arial" w:hAnsi="Arial" w:cs="Arial"/>
                <w:sz w:val="18"/>
                <w:szCs w:val="18"/>
              </w:rPr>
              <w:t>Ability to describe the key legislative instruments</w:t>
            </w:r>
            <w:r>
              <w:rPr>
                <w:rFonts w:ascii="Arial" w:hAnsi="Arial" w:cs="Arial"/>
                <w:sz w:val="18"/>
                <w:szCs w:val="18"/>
              </w:rPr>
              <w:t xml:space="preserve"> impacting on professional practice, including those specifically relating to compounding.</w:t>
            </w:r>
            <w:r w:rsidRPr="00F559B5">
              <w:rPr>
                <w:rFonts w:ascii="Arial" w:hAnsi="Arial" w:cs="Arial"/>
                <w:sz w:val="18"/>
                <w:szCs w:val="18"/>
              </w:rPr>
              <w:t xml:space="preserve"> </w:t>
            </w:r>
          </w:p>
          <w:p w:rsidR="00E10391" w:rsidRPr="00F559B5" w:rsidRDefault="00E10391" w:rsidP="00E10391">
            <w:pPr>
              <w:pStyle w:val="Header"/>
              <w:numPr>
                <w:ilvl w:val="0"/>
                <w:numId w:val="24"/>
              </w:numPr>
              <w:tabs>
                <w:tab w:val="clear" w:pos="4513"/>
                <w:tab w:val="clear" w:pos="9026"/>
              </w:tabs>
              <w:spacing w:before="40" w:after="40"/>
              <w:ind w:left="284" w:hanging="284"/>
              <w:rPr>
                <w:rFonts w:ascii="Arial" w:hAnsi="Arial" w:cs="Arial"/>
                <w:sz w:val="18"/>
                <w:szCs w:val="18"/>
              </w:rPr>
            </w:pPr>
            <w:r>
              <w:rPr>
                <w:rFonts w:ascii="Arial" w:hAnsi="Arial" w:cs="Arial"/>
                <w:sz w:val="18"/>
                <w:szCs w:val="18"/>
              </w:rPr>
              <w:t xml:space="preserve">Ability to describe the limited conditions of exemption from regulation that apply to complex compounding under the </w:t>
            </w:r>
            <w:r w:rsidR="006F29C1" w:rsidRPr="006F29C1">
              <w:rPr>
                <w:rFonts w:ascii="Arial" w:hAnsi="Arial" w:cs="Arial"/>
                <w:i/>
                <w:sz w:val="18"/>
                <w:szCs w:val="18"/>
              </w:rPr>
              <w:t>Therapeutic Goods Act</w:t>
            </w:r>
            <w:r w:rsidR="00890AA1">
              <w:rPr>
                <w:rFonts w:ascii="Arial" w:hAnsi="Arial" w:cs="Arial"/>
                <w:i/>
                <w:sz w:val="18"/>
                <w:szCs w:val="18"/>
              </w:rPr>
              <w:t xml:space="preserve"> 1989</w:t>
            </w:r>
            <w:r>
              <w:rPr>
                <w:rFonts w:ascii="Arial" w:hAnsi="Arial" w:cs="Arial"/>
                <w:sz w:val="18"/>
                <w:szCs w:val="18"/>
              </w:rPr>
              <w:t xml:space="preserve"> </w:t>
            </w:r>
            <w:r w:rsidR="006F29C1" w:rsidRPr="00D9089B">
              <w:rPr>
                <w:rFonts w:ascii="Arial" w:hAnsi="Arial" w:cs="Arial"/>
                <w:sz w:val="18"/>
                <w:szCs w:val="18"/>
              </w:rPr>
              <w:t>(Cth)</w:t>
            </w:r>
            <w:r w:rsidR="00890AA1">
              <w:rPr>
                <w:rFonts w:ascii="Arial" w:hAnsi="Arial" w:cs="Arial"/>
                <w:i/>
                <w:sz w:val="18"/>
                <w:szCs w:val="18"/>
              </w:rPr>
              <w:t>, Therapeutic Goods Regulations 1990</w:t>
            </w:r>
            <w:r w:rsidR="00890AA1">
              <w:rPr>
                <w:rFonts w:ascii="Arial" w:hAnsi="Arial" w:cs="Arial"/>
                <w:sz w:val="18"/>
                <w:szCs w:val="18"/>
              </w:rPr>
              <w:t xml:space="preserve"> </w:t>
            </w:r>
            <w:r w:rsidR="00EE6413">
              <w:rPr>
                <w:rFonts w:ascii="Arial" w:hAnsi="Arial" w:cs="Arial"/>
                <w:sz w:val="18"/>
                <w:szCs w:val="18"/>
              </w:rPr>
              <w:t xml:space="preserve">and </w:t>
            </w:r>
            <w:r w:rsidR="00EE6413" w:rsidRPr="00EE6413">
              <w:rPr>
                <w:rFonts w:ascii="Arial" w:hAnsi="Arial" w:cs="Arial"/>
                <w:i/>
                <w:sz w:val="18"/>
                <w:szCs w:val="18"/>
              </w:rPr>
              <w:t>Agricultural and Veterinary Chemicals Code Act 1994</w:t>
            </w:r>
            <w:r w:rsidR="00782B44">
              <w:rPr>
                <w:rFonts w:ascii="Arial" w:hAnsi="Arial" w:cs="Arial"/>
                <w:i/>
                <w:sz w:val="18"/>
                <w:szCs w:val="18"/>
              </w:rPr>
              <w:t xml:space="preserve"> (AgVet Code)</w:t>
            </w:r>
            <w:r w:rsidRPr="00EE6413">
              <w:rPr>
                <w:rFonts w:ascii="Arial" w:hAnsi="Arial" w:cs="Arial"/>
                <w:i/>
                <w:sz w:val="18"/>
                <w:szCs w:val="18"/>
              </w:rPr>
              <w:t>.</w:t>
            </w:r>
          </w:p>
          <w:p w:rsidR="00E10391" w:rsidRDefault="00E10391" w:rsidP="00E10391">
            <w:pPr>
              <w:pStyle w:val="Header"/>
              <w:numPr>
                <w:ilvl w:val="0"/>
                <w:numId w:val="24"/>
              </w:numPr>
              <w:tabs>
                <w:tab w:val="clear" w:pos="4513"/>
                <w:tab w:val="clear" w:pos="9026"/>
              </w:tabs>
              <w:spacing w:before="40" w:after="40"/>
              <w:ind w:left="284" w:hanging="284"/>
              <w:rPr>
                <w:rFonts w:ascii="Arial" w:hAnsi="Arial" w:cs="Arial"/>
                <w:sz w:val="18"/>
                <w:szCs w:val="18"/>
              </w:rPr>
            </w:pPr>
            <w:r>
              <w:rPr>
                <w:rFonts w:ascii="Arial" w:hAnsi="Arial" w:cs="Arial"/>
                <w:sz w:val="18"/>
                <w:szCs w:val="18"/>
              </w:rPr>
              <w:t xml:space="preserve">Ability to describe the key requirements of the </w:t>
            </w:r>
            <w:r w:rsidR="00782B44">
              <w:rPr>
                <w:rFonts w:ascii="Arial" w:hAnsi="Arial" w:cs="Arial"/>
                <w:sz w:val="18"/>
                <w:szCs w:val="18"/>
              </w:rPr>
              <w:t>AgVet</w:t>
            </w:r>
            <w:r>
              <w:rPr>
                <w:rFonts w:ascii="Arial" w:hAnsi="Arial" w:cs="Arial"/>
                <w:sz w:val="18"/>
                <w:szCs w:val="18"/>
              </w:rPr>
              <w:t xml:space="preserve"> Code and product registration requirements as they apply to complex compounded products for veterinary use.</w:t>
            </w:r>
          </w:p>
          <w:p w:rsidR="00E10391" w:rsidRPr="00F559B5" w:rsidRDefault="00E10391" w:rsidP="00E10391">
            <w:pPr>
              <w:pStyle w:val="Header"/>
              <w:numPr>
                <w:ilvl w:val="0"/>
                <w:numId w:val="24"/>
              </w:numPr>
              <w:tabs>
                <w:tab w:val="clear" w:pos="4513"/>
                <w:tab w:val="clear" w:pos="9026"/>
              </w:tabs>
              <w:spacing w:before="40" w:after="40"/>
              <w:ind w:left="284" w:hanging="284"/>
              <w:rPr>
                <w:rFonts w:ascii="Arial" w:hAnsi="Arial" w:cs="Arial"/>
                <w:sz w:val="18"/>
                <w:szCs w:val="18"/>
              </w:rPr>
            </w:pPr>
            <w:r w:rsidRPr="00F559B5">
              <w:rPr>
                <w:rFonts w:ascii="Arial" w:hAnsi="Arial" w:cs="Arial"/>
                <w:sz w:val="18"/>
                <w:szCs w:val="18"/>
              </w:rPr>
              <w:t>Ability to describe requirements of professional codes</w:t>
            </w:r>
            <w:r>
              <w:rPr>
                <w:rFonts w:ascii="Arial" w:hAnsi="Arial" w:cs="Arial"/>
                <w:sz w:val="18"/>
                <w:szCs w:val="18"/>
              </w:rPr>
              <w:t xml:space="preserve"> (e.g. </w:t>
            </w:r>
            <w:r w:rsidR="006F29C1" w:rsidRPr="006F29C1">
              <w:rPr>
                <w:rFonts w:ascii="Arial" w:hAnsi="Arial" w:cs="Arial"/>
                <w:i/>
                <w:sz w:val="18"/>
                <w:szCs w:val="18"/>
              </w:rPr>
              <w:t>The Code of Ethics for Pharmacists</w:t>
            </w:r>
            <w:r>
              <w:rPr>
                <w:rFonts w:ascii="Arial" w:hAnsi="Arial" w:cs="Arial"/>
                <w:sz w:val="18"/>
                <w:szCs w:val="18"/>
              </w:rPr>
              <w:t>),</w:t>
            </w:r>
            <w:r w:rsidRPr="00F559B5">
              <w:rPr>
                <w:rFonts w:ascii="Arial" w:hAnsi="Arial" w:cs="Arial"/>
                <w:sz w:val="18"/>
                <w:szCs w:val="18"/>
              </w:rPr>
              <w:t xml:space="preserve"> guidelines and standards adopted as part of the legislative framework for practice.</w:t>
            </w:r>
          </w:p>
        </w:tc>
      </w:tr>
      <w:tr w:rsidR="00E10391" w:rsidRPr="00F559B5" w:rsidTr="00A66271">
        <w:trPr>
          <w:cantSplit/>
          <w:jc w:val="center"/>
        </w:trPr>
        <w:tc>
          <w:tcPr>
            <w:tcW w:w="3521"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2</w:t>
            </w:r>
            <w:r w:rsidRPr="00F559B5">
              <w:rPr>
                <w:rFonts w:ascii="Arial" w:hAnsi="Arial" w:cs="Arial"/>
                <w:sz w:val="18"/>
                <w:szCs w:val="18"/>
              </w:rPr>
              <w:tab/>
              <w:t>Applies legislative requirements directly applicable to the provision of pharmacy services.</w:t>
            </w:r>
          </w:p>
        </w:tc>
        <w:tc>
          <w:tcPr>
            <w:tcW w:w="6237" w:type="dxa"/>
            <w:shd w:val="clear" w:color="auto" w:fill="DBE5F1" w:themeFill="accent1" w:themeFillTint="33"/>
          </w:tcPr>
          <w:p w:rsidR="00E10391" w:rsidRPr="00F559B5" w:rsidRDefault="00E10391" w:rsidP="00E10391">
            <w:pPr>
              <w:pStyle w:val="Header"/>
              <w:numPr>
                <w:ilvl w:val="0"/>
                <w:numId w:val="24"/>
              </w:numPr>
              <w:tabs>
                <w:tab w:val="clear" w:pos="4513"/>
                <w:tab w:val="clear" w:pos="9026"/>
              </w:tabs>
              <w:spacing w:before="40" w:after="40"/>
              <w:ind w:left="284" w:hanging="284"/>
              <w:rPr>
                <w:rFonts w:ascii="Arial" w:hAnsi="Arial" w:cs="Arial"/>
                <w:sz w:val="18"/>
                <w:szCs w:val="18"/>
              </w:rPr>
            </w:pPr>
            <w:r w:rsidRPr="00F559B5">
              <w:rPr>
                <w:rFonts w:ascii="Arial" w:hAnsi="Arial" w:cs="Arial"/>
                <w:sz w:val="18"/>
                <w:szCs w:val="18"/>
              </w:rPr>
              <w:t xml:space="preserve">Ability to promptly access and correctly interpret the requirements of statute law in relation to </w:t>
            </w:r>
            <w:r>
              <w:rPr>
                <w:rFonts w:ascii="Arial" w:hAnsi="Arial" w:cs="Arial"/>
                <w:sz w:val="18"/>
                <w:szCs w:val="18"/>
              </w:rPr>
              <w:t>complex compounding</w:t>
            </w:r>
            <w:r w:rsidRPr="00F559B5">
              <w:rPr>
                <w:rFonts w:ascii="Arial" w:hAnsi="Arial" w:cs="Arial"/>
                <w:sz w:val="18"/>
                <w:szCs w:val="18"/>
              </w:rPr>
              <w:t>.</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describe examples of how </w:t>
            </w:r>
            <w:r>
              <w:rPr>
                <w:rFonts w:ascii="Arial" w:hAnsi="Arial" w:cs="Arial"/>
                <w:sz w:val="18"/>
                <w:szCs w:val="18"/>
              </w:rPr>
              <w:t>complex compounding services</w:t>
            </w:r>
            <w:r w:rsidRPr="00F559B5">
              <w:rPr>
                <w:rFonts w:ascii="Arial" w:hAnsi="Arial" w:cs="Arial"/>
                <w:sz w:val="18"/>
                <w:szCs w:val="18"/>
              </w:rPr>
              <w:t xml:space="preserve"> are </w:t>
            </w:r>
            <w:r w:rsidR="00AF09A9">
              <w:rPr>
                <w:rFonts w:ascii="Arial" w:hAnsi="Arial" w:cs="Arial"/>
                <w:sz w:val="18"/>
                <w:szCs w:val="18"/>
              </w:rPr>
              <w:t>carried out</w:t>
            </w:r>
            <w:r w:rsidRPr="00F559B5">
              <w:rPr>
                <w:rFonts w:ascii="Arial" w:hAnsi="Arial" w:cs="Arial"/>
                <w:sz w:val="18"/>
                <w:szCs w:val="18"/>
              </w:rPr>
              <w:t xml:space="preserve"> to comply with legislative requirements (e.g. storage and documentation of controlled substances, labelling of prescription medicines).</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how legislative requirements have influenced operational policies and procedures.</w:t>
            </w:r>
          </w:p>
        </w:tc>
      </w:tr>
      <w:tr w:rsidR="00E10391" w:rsidRPr="00F559B5" w:rsidTr="00A66271">
        <w:trPr>
          <w:cantSplit/>
          <w:jc w:val="center"/>
        </w:trPr>
        <w:tc>
          <w:tcPr>
            <w:tcW w:w="3521"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3</w:t>
            </w:r>
            <w:r w:rsidRPr="00F559B5">
              <w:rPr>
                <w:rFonts w:ascii="Arial" w:hAnsi="Arial" w:cs="Arial"/>
                <w:sz w:val="18"/>
                <w:szCs w:val="18"/>
              </w:rPr>
              <w:tab/>
              <w:t>Understands the obligations created by codes of conduct/ethics for professional practice adopted by the registering authority.</w:t>
            </w:r>
          </w:p>
        </w:tc>
        <w:tc>
          <w:tcPr>
            <w:tcW w:w="6237" w:type="dxa"/>
            <w:shd w:val="clear" w:color="auto" w:fill="DBE5F1" w:themeFill="accent1" w:themeFillTint="33"/>
          </w:tcPr>
          <w:p w:rsidR="00E10391" w:rsidRPr="00F559B5" w:rsidRDefault="00E10391" w:rsidP="00E10391">
            <w:pPr>
              <w:pStyle w:val="Header"/>
              <w:numPr>
                <w:ilvl w:val="0"/>
                <w:numId w:val="24"/>
              </w:numPr>
              <w:tabs>
                <w:tab w:val="clear" w:pos="4513"/>
                <w:tab w:val="clear" w:pos="9026"/>
              </w:tabs>
              <w:spacing w:before="40" w:after="40"/>
              <w:ind w:left="284"/>
              <w:rPr>
                <w:rFonts w:ascii="Arial" w:hAnsi="Arial" w:cs="Arial"/>
                <w:sz w:val="18"/>
                <w:szCs w:val="18"/>
              </w:rPr>
            </w:pPr>
            <w:r w:rsidRPr="00F559B5">
              <w:rPr>
                <w:rFonts w:ascii="Arial" w:hAnsi="Arial" w:cs="Arial"/>
                <w:sz w:val="18"/>
                <w:szCs w:val="18"/>
              </w:rPr>
              <w:t>Ability to describe and explain the obligations created by codes of conduct/ethics.</w:t>
            </w:r>
          </w:p>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 xml:space="preserve">Ability to interpret the obligations created by relevant codes in terms of </w:t>
            </w:r>
            <w:r>
              <w:rPr>
                <w:rFonts w:ascii="Arial" w:hAnsi="Arial" w:cs="Arial"/>
                <w:sz w:val="18"/>
                <w:szCs w:val="18"/>
              </w:rPr>
              <w:t>the complex compounding services provided</w:t>
            </w:r>
            <w:r w:rsidRPr="00F559B5">
              <w:rPr>
                <w:rFonts w:ascii="Arial" w:hAnsi="Arial" w:cs="Arial"/>
                <w:sz w:val="18"/>
                <w:szCs w:val="18"/>
              </w:rPr>
              <w:t xml:space="preserve">. </w:t>
            </w:r>
          </w:p>
        </w:tc>
      </w:tr>
      <w:tr w:rsidR="00E10391" w:rsidRPr="00F559B5" w:rsidTr="00A66271">
        <w:trPr>
          <w:cantSplit/>
          <w:jc w:val="center"/>
        </w:trPr>
        <w:tc>
          <w:tcPr>
            <w:tcW w:w="3521"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4</w:t>
            </w:r>
            <w:r w:rsidRPr="00F559B5">
              <w:rPr>
                <w:rFonts w:ascii="Arial" w:hAnsi="Arial" w:cs="Arial"/>
                <w:sz w:val="18"/>
                <w:szCs w:val="18"/>
              </w:rPr>
              <w:tab/>
              <w:t xml:space="preserve">Interprets and applies the requirements imposed by guidelines and standards adopted by the registering authority. </w:t>
            </w:r>
          </w:p>
        </w:tc>
        <w:tc>
          <w:tcPr>
            <w:tcW w:w="6237" w:type="dxa"/>
            <w:shd w:val="clear" w:color="auto" w:fill="DBE5F1" w:themeFill="accent1" w:themeFillTint="33"/>
          </w:tcPr>
          <w:p w:rsidR="00E10391" w:rsidRDefault="00E10391" w:rsidP="00E10391">
            <w:pPr>
              <w:numPr>
                <w:ilvl w:val="0"/>
                <w:numId w:val="24"/>
              </w:numPr>
              <w:spacing w:before="40" w:after="40"/>
              <w:ind w:left="284"/>
              <w:rPr>
                <w:rFonts w:ascii="Arial" w:hAnsi="Arial" w:cs="Arial"/>
                <w:sz w:val="18"/>
                <w:szCs w:val="18"/>
              </w:rPr>
            </w:pPr>
            <w:r w:rsidRPr="00C76658">
              <w:rPr>
                <w:rFonts w:ascii="Arial" w:hAnsi="Arial" w:cs="Arial"/>
                <w:sz w:val="18"/>
                <w:szCs w:val="18"/>
              </w:rPr>
              <w:t>Ability to describe the key requirements of relevant guidelines and standards (e.g. P</w:t>
            </w:r>
            <w:r w:rsidR="00AF09A9">
              <w:rPr>
                <w:rFonts w:ascii="Arial" w:hAnsi="Arial" w:cs="Arial"/>
                <w:sz w:val="18"/>
                <w:szCs w:val="18"/>
              </w:rPr>
              <w:t>harmacy Board of Australia</w:t>
            </w:r>
            <w:r w:rsidRPr="00C76658">
              <w:rPr>
                <w:rFonts w:ascii="Arial" w:hAnsi="Arial" w:cs="Arial"/>
                <w:sz w:val="18"/>
                <w:szCs w:val="18"/>
              </w:rPr>
              <w:t xml:space="preserve"> guidelines for dispensing of medicines, CPD, mandatory notifications and advertising of regulated health services</w:t>
            </w:r>
            <w:r>
              <w:rPr>
                <w:rFonts w:ascii="Arial" w:hAnsi="Arial" w:cs="Arial"/>
                <w:sz w:val="18"/>
                <w:szCs w:val="18"/>
              </w:rPr>
              <w:t>.</w:t>
            </w:r>
          </w:p>
          <w:p w:rsidR="00E10391" w:rsidRPr="00C76658" w:rsidRDefault="00E10391" w:rsidP="00E10391">
            <w:pPr>
              <w:numPr>
                <w:ilvl w:val="0"/>
                <w:numId w:val="24"/>
              </w:numPr>
              <w:spacing w:before="40" w:after="40"/>
              <w:ind w:left="284"/>
              <w:rPr>
                <w:rFonts w:ascii="Arial" w:hAnsi="Arial" w:cs="Arial"/>
                <w:sz w:val="18"/>
                <w:szCs w:val="18"/>
              </w:rPr>
            </w:pPr>
            <w:r w:rsidRPr="00C76658">
              <w:rPr>
                <w:rFonts w:ascii="Arial" w:hAnsi="Arial" w:cs="Arial"/>
                <w:sz w:val="18"/>
                <w:szCs w:val="18"/>
              </w:rPr>
              <w:t>Ability to describe the process required for mandatory notification of the conduct or impairment of a health practitioner.</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practise in a manner consistent with the requirements of professional guidelines and standards</w:t>
            </w:r>
            <w:r>
              <w:rPr>
                <w:rFonts w:ascii="Arial" w:hAnsi="Arial" w:cs="Arial"/>
                <w:sz w:val="18"/>
                <w:szCs w:val="18"/>
              </w:rPr>
              <w:t xml:space="preserve"> relevant to complex compounding</w:t>
            </w:r>
            <w:r w:rsidRPr="00F559B5">
              <w:rPr>
                <w:rFonts w:ascii="Arial" w:hAnsi="Arial" w:cs="Arial"/>
                <w:sz w:val="18"/>
                <w:szCs w:val="18"/>
              </w:rPr>
              <w:t>.</w:t>
            </w:r>
          </w:p>
        </w:tc>
      </w:tr>
      <w:tr w:rsidR="00E10391" w:rsidRPr="00F559B5" w:rsidTr="00A66271">
        <w:trPr>
          <w:cantSplit/>
          <w:jc w:val="center"/>
        </w:trPr>
        <w:tc>
          <w:tcPr>
            <w:tcW w:w="3521"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lastRenderedPageBreak/>
              <w:t>5</w:t>
            </w:r>
            <w:r w:rsidRPr="00F559B5">
              <w:rPr>
                <w:rFonts w:ascii="Arial" w:hAnsi="Arial" w:cs="Arial"/>
                <w:sz w:val="18"/>
                <w:szCs w:val="18"/>
              </w:rPr>
              <w:tab/>
              <w:t>Understands the issues relevant to maintaining workplace safety.</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 xml:space="preserve">Ability to explain the key areas of responsibility under </w:t>
            </w:r>
            <w:r w:rsidR="00AF09A9">
              <w:rPr>
                <w:rFonts w:ascii="Arial" w:hAnsi="Arial" w:cs="Arial"/>
                <w:sz w:val="18"/>
                <w:szCs w:val="18"/>
              </w:rPr>
              <w:t>o</w:t>
            </w:r>
            <w:r w:rsidRPr="00F559B5">
              <w:rPr>
                <w:rFonts w:ascii="Arial" w:hAnsi="Arial" w:cs="Arial"/>
                <w:sz w:val="18"/>
                <w:szCs w:val="18"/>
              </w:rPr>
              <w:t xml:space="preserve">ccupational </w:t>
            </w:r>
            <w:r w:rsidR="00AF09A9">
              <w:rPr>
                <w:rFonts w:ascii="Arial" w:hAnsi="Arial" w:cs="Arial"/>
                <w:sz w:val="18"/>
                <w:szCs w:val="18"/>
              </w:rPr>
              <w:t>h</w:t>
            </w:r>
            <w:r w:rsidRPr="00F559B5">
              <w:rPr>
                <w:rFonts w:ascii="Arial" w:hAnsi="Arial" w:cs="Arial"/>
                <w:sz w:val="18"/>
                <w:szCs w:val="18"/>
              </w:rPr>
              <w:t xml:space="preserve">ealth and </w:t>
            </w:r>
            <w:r w:rsidR="00AF09A9">
              <w:rPr>
                <w:rFonts w:ascii="Arial" w:hAnsi="Arial" w:cs="Arial"/>
                <w:sz w:val="18"/>
                <w:szCs w:val="18"/>
              </w:rPr>
              <w:t>s</w:t>
            </w:r>
            <w:r w:rsidRPr="00F559B5">
              <w:rPr>
                <w:rFonts w:ascii="Arial" w:hAnsi="Arial" w:cs="Arial"/>
                <w:sz w:val="18"/>
                <w:szCs w:val="18"/>
              </w:rPr>
              <w:t xml:space="preserve">afety </w:t>
            </w:r>
            <w:r w:rsidR="00AF09A9">
              <w:rPr>
                <w:rFonts w:ascii="Arial" w:hAnsi="Arial" w:cs="Arial"/>
                <w:sz w:val="18"/>
                <w:szCs w:val="18"/>
              </w:rPr>
              <w:t>l</w:t>
            </w:r>
            <w:r w:rsidRPr="00F559B5">
              <w:rPr>
                <w:rFonts w:ascii="Arial" w:hAnsi="Arial" w:cs="Arial"/>
                <w:sz w:val="18"/>
                <w:szCs w:val="18"/>
              </w:rPr>
              <w:t>egislation for maintaining a safe workplace</w:t>
            </w:r>
            <w:r>
              <w:rPr>
                <w:rFonts w:ascii="Arial" w:hAnsi="Arial" w:cs="Arial"/>
                <w:sz w:val="18"/>
                <w:szCs w:val="18"/>
              </w:rPr>
              <w:t xml:space="preserve"> in the premises where complex compounding is conducted, particularly in relation to containment of risks to personnel, consumers and the environment</w:t>
            </w:r>
            <w:r w:rsidRPr="00F559B5">
              <w:rPr>
                <w:rFonts w:ascii="Arial" w:hAnsi="Arial" w:cs="Arial"/>
                <w:sz w:val="18"/>
                <w:szCs w:val="18"/>
              </w:rPr>
              <w:t>.</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describe features of the work environment that may impact on workplace safety (e.g. </w:t>
            </w:r>
            <w:r>
              <w:rPr>
                <w:rFonts w:ascii="Arial" w:hAnsi="Arial" w:cs="Arial"/>
                <w:sz w:val="18"/>
                <w:szCs w:val="18"/>
              </w:rPr>
              <w:t xml:space="preserve">fumes, aerosols, hazardous substances, </w:t>
            </w:r>
            <w:r w:rsidRPr="00F559B5">
              <w:rPr>
                <w:rFonts w:ascii="Arial" w:hAnsi="Arial" w:cs="Arial"/>
                <w:sz w:val="18"/>
                <w:szCs w:val="18"/>
              </w:rPr>
              <w:t>sharps and waste management, equipment design and use).</w:t>
            </w:r>
          </w:p>
        </w:tc>
      </w:tr>
      <w:tr w:rsidR="00E10391" w:rsidRPr="00F559B5" w:rsidTr="00A66271">
        <w:trPr>
          <w:cantSplit/>
          <w:jc w:val="center"/>
        </w:trPr>
        <w:tc>
          <w:tcPr>
            <w:tcW w:w="3521" w:type="dxa"/>
            <w:shd w:val="clear" w:color="auto" w:fill="DBE5F1" w:themeFill="accent1" w:themeFillTint="33"/>
          </w:tcPr>
          <w:p w:rsidR="00E10391" w:rsidRPr="00F559B5" w:rsidRDefault="00E10391" w:rsidP="00A66271">
            <w:pPr>
              <w:pStyle w:val="Header"/>
              <w:spacing w:before="40" w:after="40"/>
              <w:ind w:left="397" w:hanging="397"/>
              <w:rPr>
                <w:rFonts w:ascii="Arial" w:hAnsi="Arial" w:cs="Arial"/>
                <w:sz w:val="18"/>
                <w:szCs w:val="18"/>
              </w:rPr>
            </w:pPr>
            <w:r w:rsidRPr="00F559B5">
              <w:rPr>
                <w:rFonts w:ascii="Arial" w:hAnsi="Arial" w:cs="Arial"/>
                <w:sz w:val="18"/>
                <w:szCs w:val="18"/>
              </w:rPr>
              <w:t>6</w:t>
            </w:r>
            <w:r w:rsidRPr="00F559B5">
              <w:rPr>
                <w:rFonts w:ascii="Arial" w:hAnsi="Arial" w:cs="Arial"/>
                <w:sz w:val="18"/>
                <w:szCs w:val="18"/>
              </w:rPr>
              <w:tab/>
              <w:t>Accepts shared responsibility for maintaining a safe working environment.</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 xml:space="preserve">Ability to describe and/or promptly access risk management protocols such as those for emergencies, threats or injury (e.g. </w:t>
            </w:r>
            <w:r>
              <w:rPr>
                <w:rFonts w:ascii="Arial" w:hAnsi="Arial" w:cs="Arial"/>
                <w:sz w:val="18"/>
                <w:szCs w:val="18"/>
              </w:rPr>
              <w:t>exposure to a hazardous substance</w:t>
            </w:r>
            <w:r w:rsidRPr="00F559B5">
              <w:rPr>
                <w:rFonts w:ascii="Arial" w:hAnsi="Arial" w:cs="Arial"/>
                <w:sz w:val="18"/>
                <w:szCs w:val="18"/>
              </w:rPr>
              <w:t xml:space="preserve">, cytotoxic spill, </w:t>
            </w:r>
            <w:r w:rsidR="004B46CF" w:rsidRPr="00F559B5">
              <w:rPr>
                <w:rFonts w:ascii="Arial" w:hAnsi="Arial" w:cs="Arial"/>
                <w:sz w:val="18"/>
                <w:szCs w:val="18"/>
              </w:rPr>
              <w:t>needle stick</w:t>
            </w:r>
            <w:r w:rsidRPr="00F559B5">
              <w:rPr>
                <w:rFonts w:ascii="Arial" w:hAnsi="Arial" w:cs="Arial"/>
                <w:sz w:val="18"/>
                <w:szCs w:val="18"/>
              </w:rPr>
              <w:t xml:space="preserve"> injury).</w:t>
            </w:r>
          </w:p>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comply with policies and procedures intended to improve safety in the workplace (e.g. hazardous waste management and workplace access policies).</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maintain immediate work environment in a clean, tidy, hygienic and hazard free state (e.g. halls and doorways free of obstacles, garbage regularly disposed of, spills promptly cleaned, equipment maintained according to manufacturers’ recommended maintenance schedule).</w:t>
            </w:r>
          </w:p>
        </w:tc>
      </w:tr>
      <w:tr w:rsidR="00E10391" w:rsidRPr="00F559B5" w:rsidTr="00A66271">
        <w:trPr>
          <w:cantSplit/>
          <w:trHeight w:val="760"/>
          <w:jc w:val="center"/>
        </w:trPr>
        <w:tc>
          <w:tcPr>
            <w:tcW w:w="3521"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7</w:t>
            </w:r>
            <w:r w:rsidRPr="00F559B5">
              <w:rPr>
                <w:rFonts w:ascii="Arial" w:hAnsi="Arial" w:cs="Arial"/>
                <w:sz w:val="18"/>
                <w:szCs w:val="18"/>
              </w:rPr>
              <w:tab/>
              <w:t>Considers the responsibilities in the workplace that arise from more general statute law.</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discuss the general implications of occupational health, industrial relations and trade practices legislation (e.g. equal opportunity and fair trading provisions, obligations to provide for disabled access to facilities and services).</w:t>
            </w:r>
          </w:p>
        </w:tc>
      </w:tr>
      <w:tr w:rsidR="00E10391" w:rsidRPr="00F559B5" w:rsidTr="00A66271">
        <w:trPr>
          <w:cantSplit/>
          <w:jc w:val="center"/>
        </w:trPr>
        <w:tc>
          <w:tcPr>
            <w:tcW w:w="9758" w:type="dxa"/>
            <w:gridSpan w:val="2"/>
            <w:shd w:val="clear" w:color="auto" w:fill="FABF8F" w:themeFill="accent6" w:themeFillTint="99"/>
          </w:tcPr>
          <w:p w:rsidR="00E10391" w:rsidRPr="00F559B5" w:rsidRDefault="00E10391" w:rsidP="00A66271">
            <w:pPr>
              <w:spacing w:before="40" w:after="40"/>
              <w:rPr>
                <w:rFonts w:ascii="Arial" w:hAnsi="Arial" w:cs="Arial"/>
                <w:sz w:val="18"/>
                <w:szCs w:val="18"/>
              </w:rPr>
            </w:pPr>
            <w:r w:rsidRPr="00F559B5">
              <w:rPr>
                <w:rFonts w:ascii="Arial" w:hAnsi="Arial" w:cs="Arial"/>
                <w:b/>
                <w:sz w:val="18"/>
                <w:szCs w:val="18"/>
              </w:rPr>
              <w:t>Element 2 – Respond to common law requirements</w:t>
            </w:r>
          </w:p>
        </w:tc>
      </w:tr>
      <w:tr w:rsidR="00E10391" w:rsidRPr="00F559B5" w:rsidTr="00A66271">
        <w:trPr>
          <w:cantSplit/>
          <w:jc w:val="center"/>
        </w:trPr>
        <w:tc>
          <w:tcPr>
            <w:tcW w:w="3521"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1</w:t>
            </w:r>
            <w:r w:rsidRPr="00F559B5">
              <w:rPr>
                <w:rFonts w:ascii="Arial" w:hAnsi="Arial" w:cs="Arial"/>
                <w:sz w:val="18"/>
                <w:szCs w:val="18"/>
              </w:rPr>
              <w:tab/>
              <w:t>Understands the pharmacist’s duty of care to consumers and other clients of the service.</w:t>
            </w:r>
          </w:p>
        </w:tc>
        <w:tc>
          <w:tcPr>
            <w:tcW w:w="6237" w:type="dxa"/>
            <w:shd w:val="clear" w:color="auto" w:fill="DBE5F1" w:themeFill="accent1" w:themeFillTint="33"/>
          </w:tcPr>
          <w:p w:rsidR="00E10391" w:rsidRPr="00F559B5" w:rsidRDefault="00E10391" w:rsidP="00E10391">
            <w:pPr>
              <w:pStyle w:val="Header"/>
              <w:numPr>
                <w:ilvl w:val="0"/>
                <w:numId w:val="24"/>
              </w:numPr>
              <w:tabs>
                <w:tab w:val="clear" w:pos="4513"/>
                <w:tab w:val="clear" w:pos="9026"/>
              </w:tabs>
              <w:spacing w:before="40" w:after="40"/>
              <w:ind w:left="284" w:hanging="284"/>
              <w:rPr>
                <w:rFonts w:ascii="Arial" w:hAnsi="Arial" w:cs="Arial"/>
                <w:sz w:val="18"/>
                <w:szCs w:val="18"/>
              </w:rPr>
            </w:pPr>
            <w:r w:rsidRPr="00F559B5">
              <w:rPr>
                <w:rFonts w:ascii="Arial" w:hAnsi="Arial" w:cs="Arial"/>
                <w:sz w:val="18"/>
                <w:szCs w:val="18"/>
              </w:rPr>
              <w:t>Ability to discuss the concept of professional ‘duty of care’ and the legal implications of professional actions being considered ‘unsatisfactory professional conduct’, ‘professional misconduct’ or ‘negligence’.</w:t>
            </w:r>
          </w:p>
          <w:p w:rsidR="00E10391" w:rsidRPr="00F559B5" w:rsidRDefault="00E10391" w:rsidP="00E10391">
            <w:pPr>
              <w:pStyle w:val="Header"/>
              <w:numPr>
                <w:ilvl w:val="0"/>
                <w:numId w:val="24"/>
              </w:numPr>
              <w:tabs>
                <w:tab w:val="clear" w:pos="4513"/>
                <w:tab w:val="clear" w:pos="9026"/>
              </w:tabs>
              <w:spacing w:before="40" w:after="40"/>
              <w:ind w:left="284"/>
              <w:rPr>
                <w:rFonts w:ascii="Arial" w:hAnsi="Arial" w:cs="Arial"/>
                <w:sz w:val="18"/>
                <w:szCs w:val="18"/>
              </w:rPr>
            </w:pPr>
            <w:r w:rsidRPr="00F559B5">
              <w:rPr>
                <w:rFonts w:ascii="Arial" w:hAnsi="Arial" w:cs="Arial"/>
                <w:sz w:val="18"/>
                <w:szCs w:val="18"/>
              </w:rPr>
              <w:t>Ability to explain the purpose of professional indemnity insurance and demonstrate currency of indemnification</w:t>
            </w:r>
            <w:r>
              <w:rPr>
                <w:rFonts w:ascii="Arial" w:hAnsi="Arial" w:cs="Arial"/>
                <w:sz w:val="18"/>
                <w:szCs w:val="18"/>
              </w:rPr>
              <w:t xml:space="preserve"> for the complex compounding services provided</w:t>
            </w:r>
            <w:r w:rsidRPr="00F559B5">
              <w:rPr>
                <w:rFonts w:ascii="Arial" w:hAnsi="Arial" w:cs="Arial"/>
                <w:sz w:val="18"/>
                <w:szCs w:val="18"/>
              </w:rPr>
              <w:t>.</w:t>
            </w:r>
          </w:p>
        </w:tc>
      </w:tr>
      <w:tr w:rsidR="00E10391" w:rsidRPr="00F559B5" w:rsidTr="00A66271">
        <w:trPr>
          <w:cantSplit/>
          <w:trHeight w:val="764"/>
          <w:jc w:val="center"/>
        </w:trPr>
        <w:tc>
          <w:tcPr>
            <w:tcW w:w="3521"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2</w:t>
            </w:r>
            <w:r w:rsidRPr="00F559B5">
              <w:rPr>
                <w:rFonts w:ascii="Arial" w:hAnsi="Arial" w:cs="Arial"/>
                <w:sz w:val="18"/>
                <w:szCs w:val="18"/>
              </w:rPr>
              <w:tab/>
              <w:t>Considers the rights, responsibilities, duty of care and/or legislative obligations applicable to other health professionals/facility personnel.</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describe factors relevant to </w:t>
            </w:r>
            <w:r>
              <w:rPr>
                <w:rFonts w:ascii="Arial" w:hAnsi="Arial" w:cs="Arial"/>
                <w:sz w:val="18"/>
                <w:szCs w:val="18"/>
              </w:rPr>
              <w:t>delivery of complex compounding</w:t>
            </w:r>
            <w:r w:rsidRPr="00F559B5">
              <w:rPr>
                <w:rFonts w:ascii="Arial" w:hAnsi="Arial" w:cs="Arial"/>
                <w:sz w:val="18"/>
                <w:szCs w:val="18"/>
              </w:rPr>
              <w:t xml:space="preserve"> service</w:t>
            </w:r>
            <w:r>
              <w:rPr>
                <w:rFonts w:ascii="Arial" w:hAnsi="Arial" w:cs="Arial"/>
                <w:sz w:val="18"/>
                <w:szCs w:val="18"/>
              </w:rPr>
              <w:t>s</w:t>
            </w:r>
            <w:r w:rsidRPr="00F559B5">
              <w:rPr>
                <w:rFonts w:ascii="Arial" w:hAnsi="Arial" w:cs="Arial"/>
                <w:sz w:val="18"/>
                <w:szCs w:val="18"/>
              </w:rPr>
              <w:t xml:space="preserve"> that arise from the legislative obligations, rights and responsibilities or duty of care of collaborating professionals (e.g. medical practitioners and </w:t>
            </w:r>
            <w:r>
              <w:rPr>
                <w:rFonts w:ascii="Arial" w:hAnsi="Arial" w:cs="Arial"/>
                <w:sz w:val="18"/>
                <w:szCs w:val="18"/>
              </w:rPr>
              <w:t>veterinarians</w:t>
            </w:r>
            <w:r w:rsidRPr="00F559B5">
              <w:rPr>
                <w:rFonts w:ascii="Arial" w:hAnsi="Arial" w:cs="Arial"/>
                <w:sz w:val="18"/>
                <w:szCs w:val="18"/>
              </w:rPr>
              <w:t>).</w:t>
            </w:r>
          </w:p>
        </w:tc>
      </w:tr>
      <w:tr w:rsidR="00E10391" w:rsidRPr="00F559B5" w:rsidTr="00A66271">
        <w:trPr>
          <w:cantSplit/>
          <w:trHeight w:val="764"/>
          <w:jc w:val="center"/>
        </w:trPr>
        <w:tc>
          <w:tcPr>
            <w:tcW w:w="3521"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3</w:t>
            </w:r>
            <w:r w:rsidRPr="00F559B5">
              <w:rPr>
                <w:rFonts w:ascii="Arial" w:hAnsi="Arial" w:cs="Arial"/>
                <w:sz w:val="18"/>
                <w:szCs w:val="18"/>
              </w:rPr>
              <w:tab/>
              <w:t>Responds promptly to situations of uncertainty in regard to professional conduct.</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the timing and order of steps to be taken in the event of an error, potential misadventure and/or claim of professional misconduct or negligence.</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circumstances where the professional conduct or impairment of a health professional may warrant intervention or mandatory notification.</w:t>
            </w:r>
          </w:p>
        </w:tc>
      </w:tr>
      <w:tr w:rsidR="00E10391" w:rsidRPr="00F559B5" w:rsidTr="00A66271">
        <w:trPr>
          <w:cantSplit/>
          <w:jc w:val="center"/>
        </w:trPr>
        <w:tc>
          <w:tcPr>
            <w:tcW w:w="9758" w:type="dxa"/>
            <w:gridSpan w:val="2"/>
            <w:tcBorders>
              <w:bottom w:val="single" w:sz="4" w:space="0" w:color="auto"/>
            </w:tcBorders>
            <w:shd w:val="clear" w:color="auto" w:fill="FABF8F" w:themeFill="accent6" w:themeFillTint="99"/>
          </w:tcPr>
          <w:p w:rsidR="00E10391" w:rsidRPr="00F559B5" w:rsidRDefault="00E10391" w:rsidP="00A66271">
            <w:pPr>
              <w:pStyle w:val="Header"/>
              <w:spacing w:before="40" w:after="40"/>
              <w:rPr>
                <w:rFonts w:ascii="Arial" w:hAnsi="Arial" w:cs="Arial"/>
                <w:sz w:val="18"/>
                <w:szCs w:val="18"/>
              </w:rPr>
            </w:pPr>
            <w:r w:rsidRPr="00F559B5">
              <w:rPr>
                <w:rFonts w:ascii="Arial" w:hAnsi="Arial" w:cs="Arial"/>
                <w:b/>
                <w:sz w:val="18"/>
                <w:szCs w:val="18"/>
              </w:rPr>
              <w:t>Element 3 – Respect and protect the consumer’s right to privacy and confidentiality</w:t>
            </w:r>
          </w:p>
        </w:tc>
      </w:tr>
      <w:tr w:rsidR="00E10391" w:rsidRPr="00F559B5" w:rsidTr="00A66271">
        <w:trPr>
          <w:cantSplit/>
          <w:jc w:val="center"/>
        </w:trPr>
        <w:tc>
          <w:tcPr>
            <w:tcW w:w="3521" w:type="dxa"/>
            <w:tcBorders>
              <w:bottom w:val="single" w:sz="4" w:space="0" w:color="auto"/>
            </w:tcBorders>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1</w:t>
            </w:r>
            <w:r w:rsidRPr="00F559B5">
              <w:rPr>
                <w:rFonts w:ascii="Arial" w:hAnsi="Arial" w:cs="Arial"/>
                <w:sz w:val="18"/>
                <w:szCs w:val="18"/>
              </w:rPr>
              <w:tab/>
              <w:t>Considers the impact of privacy legislation on professional practice.</w:t>
            </w:r>
          </w:p>
        </w:tc>
        <w:tc>
          <w:tcPr>
            <w:tcW w:w="6237" w:type="dxa"/>
            <w:tcBorders>
              <w:bottom w:val="single" w:sz="4" w:space="0" w:color="auto"/>
            </w:tcBorders>
            <w:shd w:val="clear" w:color="auto" w:fill="DBE5F1" w:themeFill="accent1" w:themeFillTint="33"/>
          </w:tcPr>
          <w:p w:rsidR="00E10391" w:rsidRPr="00F559B5" w:rsidRDefault="00E10391" w:rsidP="00E10391">
            <w:pPr>
              <w:pStyle w:val="Header"/>
              <w:numPr>
                <w:ilvl w:val="0"/>
                <w:numId w:val="24"/>
              </w:numPr>
              <w:tabs>
                <w:tab w:val="clear" w:pos="4513"/>
                <w:tab w:val="clear" w:pos="9026"/>
              </w:tabs>
              <w:spacing w:before="40" w:after="40"/>
              <w:ind w:left="284"/>
              <w:rPr>
                <w:rFonts w:ascii="Arial" w:hAnsi="Arial" w:cs="Arial"/>
                <w:sz w:val="18"/>
                <w:szCs w:val="18"/>
              </w:rPr>
            </w:pPr>
            <w:r w:rsidRPr="00F559B5">
              <w:rPr>
                <w:rFonts w:ascii="Arial" w:hAnsi="Arial" w:cs="Arial"/>
                <w:sz w:val="18"/>
                <w:szCs w:val="18"/>
              </w:rPr>
              <w:t xml:space="preserve">Ability to describe the key features of relevant </w:t>
            </w:r>
            <w:r w:rsidR="00E52035">
              <w:rPr>
                <w:rFonts w:ascii="Arial" w:hAnsi="Arial" w:cs="Arial"/>
                <w:sz w:val="18"/>
                <w:szCs w:val="18"/>
              </w:rPr>
              <w:t>f</w:t>
            </w:r>
            <w:r w:rsidRPr="00F559B5">
              <w:rPr>
                <w:rFonts w:ascii="Arial" w:hAnsi="Arial" w:cs="Arial"/>
                <w:sz w:val="18"/>
                <w:szCs w:val="18"/>
              </w:rPr>
              <w:t xml:space="preserve">ederal and </w:t>
            </w:r>
            <w:r w:rsidR="00E52035">
              <w:rPr>
                <w:rFonts w:ascii="Arial" w:hAnsi="Arial" w:cs="Arial"/>
                <w:sz w:val="18"/>
                <w:szCs w:val="18"/>
              </w:rPr>
              <w:t>s</w:t>
            </w:r>
            <w:r w:rsidRPr="00F559B5">
              <w:rPr>
                <w:rFonts w:ascii="Arial" w:hAnsi="Arial" w:cs="Arial"/>
                <w:sz w:val="18"/>
                <w:szCs w:val="18"/>
              </w:rPr>
              <w:t>tate/</w:t>
            </w:r>
            <w:r w:rsidR="00E52035">
              <w:rPr>
                <w:rFonts w:ascii="Arial" w:hAnsi="Arial" w:cs="Arial"/>
                <w:sz w:val="18"/>
                <w:szCs w:val="18"/>
              </w:rPr>
              <w:t>t</w:t>
            </w:r>
            <w:r w:rsidRPr="00F559B5">
              <w:rPr>
                <w:rFonts w:ascii="Arial" w:hAnsi="Arial" w:cs="Arial"/>
                <w:sz w:val="18"/>
                <w:szCs w:val="18"/>
              </w:rPr>
              <w:t xml:space="preserve">erritory privacy legislation impacting on </w:t>
            </w:r>
            <w:r>
              <w:rPr>
                <w:rFonts w:ascii="Arial" w:hAnsi="Arial" w:cs="Arial"/>
                <w:sz w:val="18"/>
                <w:szCs w:val="18"/>
              </w:rPr>
              <w:t>the provision of complex compounding services</w:t>
            </w:r>
            <w:r w:rsidRPr="00F559B5">
              <w:rPr>
                <w:rFonts w:ascii="Arial" w:hAnsi="Arial" w:cs="Arial"/>
                <w:sz w:val="18"/>
                <w:szCs w:val="18"/>
              </w:rPr>
              <w:t xml:space="preserve"> (e.g. disclosure, consent to collect, requests for own health records).</w:t>
            </w:r>
          </w:p>
          <w:p w:rsidR="00E10391" w:rsidRPr="00F559B5" w:rsidRDefault="00E10391" w:rsidP="00E10391">
            <w:pPr>
              <w:pStyle w:val="Header"/>
              <w:numPr>
                <w:ilvl w:val="0"/>
                <w:numId w:val="24"/>
              </w:numPr>
              <w:tabs>
                <w:tab w:val="clear" w:pos="4513"/>
                <w:tab w:val="clear" w:pos="9026"/>
              </w:tabs>
              <w:spacing w:before="40" w:after="40"/>
              <w:ind w:left="284"/>
              <w:rPr>
                <w:rFonts w:ascii="Arial" w:hAnsi="Arial" w:cs="Arial"/>
                <w:sz w:val="18"/>
                <w:szCs w:val="18"/>
              </w:rPr>
            </w:pPr>
            <w:r w:rsidRPr="00F559B5">
              <w:rPr>
                <w:rFonts w:ascii="Arial" w:hAnsi="Arial" w:cs="Arial"/>
                <w:sz w:val="18"/>
                <w:szCs w:val="18"/>
              </w:rPr>
              <w:t>Ability to describe the legislative limitations on collection, use and disclosure of personal information (including health information).</w:t>
            </w:r>
          </w:p>
        </w:tc>
      </w:tr>
      <w:tr w:rsidR="00E10391" w:rsidRPr="00F559B5" w:rsidTr="00A66271">
        <w:trPr>
          <w:cantSplit/>
          <w:jc w:val="center"/>
        </w:trPr>
        <w:tc>
          <w:tcPr>
            <w:tcW w:w="3521" w:type="dxa"/>
            <w:tcBorders>
              <w:bottom w:val="single" w:sz="4" w:space="0" w:color="auto"/>
            </w:tcBorders>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2</w:t>
            </w:r>
            <w:r w:rsidRPr="00F559B5">
              <w:rPr>
                <w:rFonts w:ascii="Arial" w:hAnsi="Arial" w:cs="Arial"/>
                <w:sz w:val="18"/>
                <w:szCs w:val="18"/>
              </w:rPr>
              <w:tab/>
              <w:t>Understands the consumer’s expectations and rights in relation to maintenance of privacy and confidentiality.</w:t>
            </w:r>
          </w:p>
        </w:tc>
        <w:tc>
          <w:tcPr>
            <w:tcW w:w="6237" w:type="dxa"/>
            <w:tcBorders>
              <w:bottom w:val="single" w:sz="4" w:space="0" w:color="auto"/>
            </w:tcBorders>
            <w:shd w:val="clear" w:color="auto" w:fill="DBE5F1" w:themeFill="accent1" w:themeFillTint="33"/>
          </w:tcPr>
          <w:p w:rsidR="00E10391" w:rsidRPr="00F559B5" w:rsidRDefault="00E10391" w:rsidP="00E10391">
            <w:pPr>
              <w:pStyle w:val="Header"/>
              <w:numPr>
                <w:ilvl w:val="0"/>
                <w:numId w:val="24"/>
              </w:numPr>
              <w:tabs>
                <w:tab w:val="clear" w:pos="4513"/>
                <w:tab w:val="clear" w:pos="9026"/>
              </w:tabs>
              <w:spacing w:before="40" w:after="40"/>
              <w:ind w:left="284" w:hanging="284"/>
              <w:rPr>
                <w:rFonts w:ascii="Arial" w:hAnsi="Arial" w:cs="Arial"/>
                <w:sz w:val="18"/>
                <w:szCs w:val="18"/>
              </w:rPr>
            </w:pPr>
            <w:r w:rsidRPr="00F559B5">
              <w:rPr>
                <w:rFonts w:ascii="Arial" w:hAnsi="Arial" w:cs="Arial"/>
                <w:sz w:val="18"/>
                <w:szCs w:val="18"/>
              </w:rPr>
              <w:t>Ability to describe the types of information that must be kept confidential.</w:t>
            </w:r>
          </w:p>
          <w:p w:rsidR="00E10391" w:rsidRPr="00F559B5" w:rsidRDefault="00E10391" w:rsidP="00E10391">
            <w:pPr>
              <w:pStyle w:val="Header"/>
              <w:numPr>
                <w:ilvl w:val="0"/>
                <w:numId w:val="24"/>
              </w:numPr>
              <w:tabs>
                <w:tab w:val="clear" w:pos="4513"/>
                <w:tab w:val="clear" w:pos="9026"/>
              </w:tabs>
              <w:spacing w:before="40" w:after="40"/>
              <w:ind w:left="284" w:hanging="284"/>
              <w:rPr>
                <w:rFonts w:ascii="Arial" w:hAnsi="Arial" w:cs="Arial"/>
                <w:sz w:val="18"/>
                <w:szCs w:val="18"/>
              </w:rPr>
            </w:pPr>
            <w:r w:rsidRPr="00F559B5">
              <w:rPr>
                <w:rFonts w:ascii="Arial" w:hAnsi="Arial" w:cs="Arial"/>
                <w:sz w:val="18"/>
                <w:szCs w:val="18"/>
              </w:rPr>
              <w:t>Ability to describe the likely impact on consumer dignity and trust of breaches to privacy and confidentiality.</w:t>
            </w:r>
          </w:p>
        </w:tc>
      </w:tr>
      <w:tr w:rsidR="00E10391" w:rsidRPr="00F559B5" w:rsidTr="00A66271">
        <w:trPr>
          <w:cantSplit/>
          <w:trHeight w:val="1435"/>
          <w:jc w:val="center"/>
        </w:trPr>
        <w:tc>
          <w:tcPr>
            <w:tcW w:w="3521"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lastRenderedPageBreak/>
              <w:t>3</w:t>
            </w:r>
            <w:r w:rsidRPr="00F559B5">
              <w:rPr>
                <w:rFonts w:ascii="Arial" w:hAnsi="Arial" w:cs="Arial"/>
                <w:sz w:val="18"/>
                <w:szCs w:val="18"/>
              </w:rPr>
              <w:tab/>
              <w:t xml:space="preserve">Takes all reasonable steps to assure consumer privacy is maintained and to avoid unauthorised or accidental disclosure of confidential information. </w:t>
            </w:r>
          </w:p>
        </w:tc>
        <w:tc>
          <w:tcPr>
            <w:tcW w:w="6237" w:type="dxa"/>
            <w:shd w:val="clear" w:color="auto" w:fill="DBE5F1" w:themeFill="accent1" w:themeFillTint="33"/>
          </w:tcPr>
          <w:p w:rsidR="00E10391" w:rsidRPr="00F559B5" w:rsidRDefault="00E10391" w:rsidP="00E10391">
            <w:pPr>
              <w:pStyle w:val="Header"/>
              <w:numPr>
                <w:ilvl w:val="0"/>
                <w:numId w:val="24"/>
              </w:numPr>
              <w:tabs>
                <w:tab w:val="clear" w:pos="4513"/>
                <w:tab w:val="clear" w:pos="9026"/>
              </w:tabs>
              <w:spacing w:before="40" w:after="40"/>
              <w:ind w:left="284" w:hanging="284"/>
              <w:rPr>
                <w:rFonts w:ascii="Arial" w:hAnsi="Arial" w:cs="Arial"/>
                <w:sz w:val="18"/>
                <w:szCs w:val="18"/>
              </w:rPr>
            </w:pPr>
            <w:r w:rsidRPr="00F559B5">
              <w:rPr>
                <w:rFonts w:ascii="Arial" w:hAnsi="Arial" w:cs="Arial"/>
                <w:sz w:val="18"/>
                <w:szCs w:val="18"/>
              </w:rPr>
              <w:t>Ability to describe circumstances in practice, including during disposal of records, where consumer privacy or confidentiality could be compromised.</w:t>
            </w:r>
          </w:p>
          <w:p w:rsidR="00E10391" w:rsidRPr="00F559B5" w:rsidRDefault="00E10391" w:rsidP="00E10391">
            <w:pPr>
              <w:pStyle w:val="Header"/>
              <w:numPr>
                <w:ilvl w:val="0"/>
                <w:numId w:val="24"/>
              </w:numPr>
              <w:tabs>
                <w:tab w:val="clear" w:pos="4513"/>
                <w:tab w:val="clear" w:pos="9026"/>
              </w:tabs>
              <w:spacing w:before="40" w:after="40"/>
              <w:ind w:left="284" w:hanging="284"/>
              <w:rPr>
                <w:rFonts w:ascii="Arial" w:hAnsi="Arial" w:cs="Arial"/>
                <w:sz w:val="18"/>
                <w:szCs w:val="18"/>
              </w:rPr>
            </w:pPr>
            <w:r w:rsidRPr="00F559B5">
              <w:rPr>
                <w:rFonts w:ascii="Arial" w:hAnsi="Arial" w:cs="Arial"/>
                <w:sz w:val="18"/>
                <w:szCs w:val="18"/>
              </w:rPr>
              <w:t>Ability to explain the steps taken to protect consumer privacy and maintain confidentiality of personal information (including health information).</w:t>
            </w:r>
          </w:p>
        </w:tc>
      </w:tr>
      <w:tr w:rsidR="00E10391" w:rsidRPr="00F559B5" w:rsidTr="00A66271">
        <w:trPr>
          <w:cantSplit/>
          <w:trHeight w:val="988"/>
          <w:jc w:val="center"/>
        </w:trPr>
        <w:tc>
          <w:tcPr>
            <w:tcW w:w="3521"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4</w:t>
            </w:r>
            <w:r w:rsidRPr="00F559B5">
              <w:rPr>
                <w:rFonts w:ascii="Arial" w:hAnsi="Arial" w:cs="Arial"/>
                <w:sz w:val="18"/>
                <w:szCs w:val="18"/>
              </w:rPr>
              <w:tab/>
              <w:t>Takes appropriate action to advise the consumer and prevent a recurrence of a breach of consumer privacy.</w:t>
            </w:r>
          </w:p>
        </w:tc>
        <w:tc>
          <w:tcPr>
            <w:tcW w:w="6237" w:type="dxa"/>
            <w:shd w:val="clear" w:color="auto" w:fill="DBE5F1" w:themeFill="accent1" w:themeFillTint="33"/>
          </w:tcPr>
          <w:p w:rsidR="00E10391" w:rsidRPr="00F559B5" w:rsidRDefault="00E10391" w:rsidP="00E10391">
            <w:pPr>
              <w:pStyle w:val="Header"/>
              <w:numPr>
                <w:ilvl w:val="0"/>
                <w:numId w:val="24"/>
              </w:numPr>
              <w:tabs>
                <w:tab w:val="clear" w:pos="4513"/>
                <w:tab w:val="clear" w:pos="9026"/>
              </w:tabs>
              <w:spacing w:before="40" w:after="40"/>
              <w:ind w:left="284" w:hanging="284"/>
              <w:rPr>
                <w:rFonts w:ascii="Arial" w:hAnsi="Arial" w:cs="Arial"/>
                <w:sz w:val="18"/>
                <w:szCs w:val="18"/>
              </w:rPr>
            </w:pPr>
            <w:r w:rsidRPr="00F559B5">
              <w:rPr>
                <w:rFonts w:ascii="Arial" w:hAnsi="Arial" w:cs="Arial"/>
                <w:sz w:val="18"/>
                <w:szCs w:val="18"/>
              </w:rPr>
              <w:t>Ability to describe circumstances that warrant advice to consumers that a breach of privacy has occurred.</w:t>
            </w:r>
          </w:p>
          <w:p w:rsidR="00E10391" w:rsidRPr="00F559B5" w:rsidRDefault="00E10391" w:rsidP="00E10391">
            <w:pPr>
              <w:pStyle w:val="Header"/>
              <w:numPr>
                <w:ilvl w:val="0"/>
                <w:numId w:val="24"/>
              </w:numPr>
              <w:tabs>
                <w:tab w:val="clear" w:pos="4513"/>
                <w:tab w:val="clear" w:pos="9026"/>
              </w:tabs>
              <w:spacing w:before="40" w:after="40"/>
              <w:ind w:left="284" w:hanging="284"/>
              <w:rPr>
                <w:rFonts w:ascii="Arial" w:hAnsi="Arial" w:cs="Arial"/>
                <w:sz w:val="18"/>
                <w:szCs w:val="18"/>
              </w:rPr>
            </w:pPr>
            <w:r w:rsidRPr="00F559B5">
              <w:rPr>
                <w:rFonts w:ascii="Arial" w:hAnsi="Arial" w:cs="Arial"/>
                <w:sz w:val="18"/>
                <w:szCs w:val="18"/>
              </w:rPr>
              <w:t>Ability to describe corrective actions taken to prevent a recurrence of a breach of privacy.</w:t>
            </w:r>
          </w:p>
        </w:tc>
      </w:tr>
      <w:tr w:rsidR="00E10391" w:rsidRPr="00F559B5" w:rsidTr="00A66271">
        <w:trPr>
          <w:cantSplit/>
          <w:trHeight w:val="358"/>
          <w:jc w:val="center"/>
        </w:trPr>
        <w:tc>
          <w:tcPr>
            <w:tcW w:w="9758" w:type="dxa"/>
            <w:gridSpan w:val="2"/>
            <w:shd w:val="clear" w:color="auto" w:fill="FABF8F" w:themeFill="accent6" w:themeFillTint="99"/>
          </w:tcPr>
          <w:p w:rsidR="00E10391" w:rsidRPr="00F559B5" w:rsidRDefault="00E10391" w:rsidP="00A66271">
            <w:pPr>
              <w:pStyle w:val="Header"/>
              <w:spacing w:before="40" w:after="40"/>
              <w:rPr>
                <w:rFonts w:ascii="Arial" w:hAnsi="Arial" w:cs="Arial"/>
                <w:sz w:val="18"/>
                <w:szCs w:val="18"/>
              </w:rPr>
            </w:pPr>
            <w:r w:rsidRPr="00F559B5">
              <w:rPr>
                <w:rFonts w:ascii="Arial" w:hAnsi="Arial" w:cs="Arial"/>
                <w:b/>
                <w:sz w:val="18"/>
                <w:szCs w:val="18"/>
              </w:rPr>
              <w:t>Element 4 – Support and assist consumer consent</w:t>
            </w:r>
          </w:p>
        </w:tc>
      </w:tr>
      <w:tr w:rsidR="00E10391" w:rsidRPr="00F559B5" w:rsidTr="00A66271">
        <w:trPr>
          <w:cantSplit/>
          <w:trHeight w:val="562"/>
          <w:jc w:val="center"/>
        </w:trPr>
        <w:tc>
          <w:tcPr>
            <w:tcW w:w="3521"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1</w:t>
            </w:r>
            <w:r w:rsidRPr="00F559B5">
              <w:rPr>
                <w:rFonts w:ascii="Arial" w:hAnsi="Arial" w:cs="Arial"/>
                <w:sz w:val="18"/>
                <w:szCs w:val="18"/>
              </w:rPr>
              <w:tab/>
              <w:t>Accepts the importance of gaining consumer consent.</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explain the importance of the consent process as the means by which consumers exert autonomy and grant or withhold permission. </w:t>
            </w:r>
          </w:p>
        </w:tc>
      </w:tr>
      <w:tr w:rsidR="00E10391" w:rsidRPr="00F559B5" w:rsidTr="00A66271">
        <w:trPr>
          <w:cantSplit/>
          <w:trHeight w:val="988"/>
          <w:jc w:val="center"/>
        </w:trPr>
        <w:tc>
          <w:tcPr>
            <w:tcW w:w="3521"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2</w:t>
            </w:r>
            <w:r w:rsidRPr="00F559B5">
              <w:rPr>
                <w:rFonts w:ascii="Arial" w:hAnsi="Arial" w:cs="Arial"/>
                <w:sz w:val="18"/>
                <w:szCs w:val="18"/>
              </w:rPr>
              <w:tab/>
              <w:t>Understands the nature of consumer consent.</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the essential elements of valid consent (e.g. capacity to consent, clear and accurate explanation, confirming the consumer understands, absence of coercion, explicit statement of right to decline).</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explain that consent is an ongoing process rather than an event and that it can be withdrawn by the consumer at any time.</w:t>
            </w:r>
          </w:p>
        </w:tc>
      </w:tr>
      <w:tr w:rsidR="00E10391" w:rsidRPr="00F559B5" w:rsidTr="00A66271">
        <w:trPr>
          <w:cantSplit/>
          <w:trHeight w:val="988"/>
          <w:jc w:val="center"/>
        </w:trPr>
        <w:tc>
          <w:tcPr>
            <w:tcW w:w="3521"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3</w:t>
            </w:r>
            <w:r w:rsidRPr="00F559B5">
              <w:rPr>
                <w:rFonts w:ascii="Arial" w:hAnsi="Arial" w:cs="Arial"/>
                <w:sz w:val="18"/>
                <w:szCs w:val="18"/>
              </w:rPr>
              <w:tab/>
              <w:t>Obtains consumer consent as required for professional services, including those where personal health information will be collated and shared with other health professionals.</w:t>
            </w:r>
          </w:p>
        </w:tc>
        <w:tc>
          <w:tcPr>
            <w:tcW w:w="6237" w:type="dxa"/>
            <w:shd w:val="clear" w:color="auto" w:fill="DBE5F1" w:themeFill="accent1" w:themeFillTint="33"/>
          </w:tcPr>
          <w:p w:rsidR="00E10391" w:rsidRPr="00F559B5" w:rsidRDefault="00E10391" w:rsidP="00E10391">
            <w:pPr>
              <w:pStyle w:val="Header"/>
              <w:numPr>
                <w:ilvl w:val="0"/>
                <w:numId w:val="24"/>
              </w:numPr>
              <w:tabs>
                <w:tab w:val="clear" w:pos="4513"/>
                <w:tab w:val="clear" w:pos="9026"/>
              </w:tabs>
              <w:spacing w:before="40" w:after="40"/>
              <w:ind w:left="284" w:hanging="284"/>
              <w:rPr>
                <w:rFonts w:ascii="Arial" w:hAnsi="Arial" w:cs="Arial"/>
                <w:sz w:val="18"/>
                <w:szCs w:val="18"/>
              </w:rPr>
            </w:pPr>
            <w:r w:rsidRPr="00F559B5">
              <w:rPr>
                <w:rFonts w:ascii="Arial" w:hAnsi="Arial" w:cs="Arial"/>
                <w:sz w:val="18"/>
                <w:szCs w:val="18"/>
              </w:rPr>
              <w:t xml:space="preserve">Ability to describe services or situations where consent is required </w:t>
            </w:r>
            <w:r>
              <w:rPr>
                <w:rFonts w:ascii="Arial" w:hAnsi="Arial" w:cs="Arial"/>
                <w:sz w:val="18"/>
                <w:szCs w:val="18"/>
              </w:rPr>
              <w:t>prior to supply of a complex compounded product</w:t>
            </w:r>
            <w:r w:rsidRPr="00F559B5">
              <w:rPr>
                <w:rFonts w:ascii="Arial" w:hAnsi="Arial" w:cs="Arial"/>
                <w:sz w:val="18"/>
                <w:szCs w:val="18"/>
              </w:rPr>
              <w:t>.</w:t>
            </w:r>
          </w:p>
          <w:p w:rsidR="00E10391" w:rsidRDefault="00E10391" w:rsidP="00E10391">
            <w:pPr>
              <w:pStyle w:val="Header"/>
              <w:numPr>
                <w:ilvl w:val="0"/>
                <w:numId w:val="24"/>
              </w:numPr>
              <w:tabs>
                <w:tab w:val="clear" w:pos="4513"/>
                <w:tab w:val="clear" w:pos="9026"/>
              </w:tabs>
              <w:spacing w:before="40" w:after="40"/>
              <w:ind w:left="284"/>
              <w:rPr>
                <w:rFonts w:ascii="Arial" w:hAnsi="Arial" w:cs="Arial"/>
                <w:sz w:val="18"/>
                <w:szCs w:val="18"/>
              </w:rPr>
            </w:pPr>
            <w:r w:rsidRPr="00F559B5">
              <w:rPr>
                <w:rFonts w:ascii="Arial" w:hAnsi="Arial" w:cs="Arial"/>
                <w:sz w:val="18"/>
                <w:szCs w:val="18"/>
              </w:rPr>
              <w:t>Ability to obtain consent from consumers and/or carers or guardians.</w:t>
            </w:r>
          </w:p>
          <w:p w:rsidR="00E10391" w:rsidRPr="00F559B5" w:rsidRDefault="00E10391" w:rsidP="00E10391">
            <w:pPr>
              <w:pStyle w:val="Header"/>
              <w:numPr>
                <w:ilvl w:val="0"/>
                <w:numId w:val="24"/>
              </w:numPr>
              <w:tabs>
                <w:tab w:val="clear" w:pos="4513"/>
                <w:tab w:val="clear" w:pos="9026"/>
              </w:tabs>
              <w:spacing w:before="40" w:after="40"/>
              <w:ind w:left="284"/>
              <w:rPr>
                <w:rFonts w:ascii="Arial" w:hAnsi="Arial" w:cs="Arial"/>
                <w:sz w:val="18"/>
                <w:szCs w:val="18"/>
              </w:rPr>
            </w:pPr>
            <w:r>
              <w:rPr>
                <w:rFonts w:ascii="Arial" w:hAnsi="Arial" w:cs="Arial"/>
                <w:sz w:val="18"/>
                <w:szCs w:val="18"/>
              </w:rPr>
              <w:t>Ability to describe the documentation required to record informed consumer consent.</w:t>
            </w:r>
          </w:p>
        </w:tc>
      </w:tr>
      <w:tr w:rsidR="00E10391" w:rsidRPr="00F559B5" w:rsidTr="00A66271">
        <w:trPr>
          <w:cantSplit/>
          <w:trHeight w:val="720"/>
          <w:jc w:val="center"/>
        </w:trPr>
        <w:tc>
          <w:tcPr>
            <w:tcW w:w="3521"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4</w:t>
            </w:r>
            <w:r w:rsidRPr="00F559B5">
              <w:rPr>
                <w:rFonts w:ascii="Arial" w:hAnsi="Arial" w:cs="Arial"/>
                <w:sz w:val="18"/>
                <w:szCs w:val="18"/>
              </w:rPr>
              <w:tab/>
              <w:t>Understands procedures to follow in the event that consent is denied or withdrawn.</w:t>
            </w:r>
          </w:p>
        </w:tc>
        <w:tc>
          <w:tcPr>
            <w:tcW w:w="6237" w:type="dxa"/>
            <w:shd w:val="clear" w:color="auto" w:fill="DBE5F1" w:themeFill="accent1" w:themeFillTint="33"/>
          </w:tcPr>
          <w:p w:rsidR="00E10391" w:rsidRPr="00F559B5" w:rsidRDefault="00E10391" w:rsidP="00E10391">
            <w:pPr>
              <w:pStyle w:val="Header"/>
              <w:numPr>
                <w:ilvl w:val="0"/>
                <w:numId w:val="24"/>
              </w:numPr>
              <w:tabs>
                <w:tab w:val="clear" w:pos="4513"/>
                <w:tab w:val="clear" w:pos="9026"/>
              </w:tabs>
              <w:spacing w:before="40" w:after="40"/>
              <w:ind w:left="284" w:hanging="284"/>
              <w:rPr>
                <w:rFonts w:ascii="Arial" w:hAnsi="Arial" w:cs="Arial"/>
                <w:sz w:val="18"/>
                <w:szCs w:val="18"/>
              </w:rPr>
            </w:pPr>
            <w:r w:rsidRPr="00F559B5">
              <w:rPr>
                <w:rFonts w:ascii="Arial" w:hAnsi="Arial" w:cs="Arial"/>
                <w:sz w:val="18"/>
                <w:szCs w:val="18"/>
              </w:rPr>
              <w:t>Ability to describe documentation and/or actions required where consent is denied or withdrawn.</w:t>
            </w:r>
          </w:p>
        </w:tc>
      </w:tr>
    </w:tbl>
    <w:p w:rsidR="00E10391" w:rsidRDefault="00E10391" w:rsidP="00E10391"/>
    <w:p w:rsidR="00E10391" w:rsidRDefault="00E10391" w:rsidP="00E10391"/>
    <w:p w:rsidR="00E10391" w:rsidRPr="00D80945" w:rsidRDefault="00E10391" w:rsidP="00E10391">
      <w:pPr>
        <w:pStyle w:val="Heading3"/>
        <w:rPr>
          <w:rFonts w:ascii="Arial" w:hAnsi="Arial" w:cs="Arial"/>
        </w:rPr>
      </w:pPr>
      <w:bookmarkStart w:id="8" w:name="_Toc377638230"/>
      <w:r w:rsidRPr="00D80945">
        <w:rPr>
          <w:rFonts w:ascii="Arial" w:hAnsi="Arial" w:cs="Arial"/>
          <w:color w:val="FF0000"/>
        </w:rPr>
        <w:t>Standard 1.2</w:t>
      </w:r>
      <w:r w:rsidRPr="00D80945">
        <w:rPr>
          <w:rFonts w:ascii="Arial" w:hAnsi="Arial" w:cs="Arial"/>
        </w:rPr>
        <w:t xml:space="preserve"> Practise to accepted standards</w:t>
      </w:r>
      <w:bookmarkEnd w:id="8"/>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237"/>
      </w:tblGrid>
      <w:tr w:rsidR="00E10391" w:rsidRPr="00F559B5" w:rsidTr="00A66271">
        <w:trPr>
          <w:cantSplit/>
          <w:tblHeader/>
        </w:trPr>
        <w:tc>
          <w:tcPr>
            <w:tcW w:w="3686" w:type="dxa"/>
            <w:tcBorders>
              <w:top w:val="nil"/>
              <w:left w:val="nil"/>
              <w:right w:val="nil"/>
            </w:tcBorders>
          </w:tcPr>
          <w:p w:rsidR="00E10391" w:rsidRPr="00F559B5" w:rsidRDefault="00E10391" w:rsidP="00A66271">
            <w:pPr>
              <w:spacing w:before="40" w:after="40"/>
              <w:ind w:left="567" w:hanging="567"/>
              <w:rPr>
                <w:rFonts w:ascii="Arial" w:hAnsi="Arial" w:cs="Arial"/>
                <w:b/>
                <w:sz w:val="18"/>
                <w:szCs w:val="18"/>
              </w:rPr>
            </w:pPr>
          </w:p>
        </w:tc>
        <w:tc>
          <w:tcPr>
            <w:tcW w:w="6237" w:type="dxa"/>
            <w:tcBorders>
              <w:top w:val="nil"/>
              <w:left w:val="nil"/>
              <w:right w:val="nil"/>
            </w:tcBorders>
          </w:tcPr>
          <w:p w:rsidR="00E10391" w:rsidRPr="00F559B5" w:rsidRDefault="00E10391" w:rsidP="00A66271">
            <w:pPr>
              <w:spacing w:before="40" w:after="40"/>
              <w:ind w:left="284" w:hanging="284"/>
              <w:jc w:val="right"/>
              <w:rPr>
                <w:rFonts w:ascii="Arial" w:hAnsi="Arial" w:cs="Arial"/>
                <w:b/>
                <w:i/>
                <w:sz w:val="18"/>
                <w:szCs w:val="18"/>
              </w:rPr>
            </w:pPr>
          </w:p>
        </w:tc>
      </w:tr>
      <w:tr w:rsidR="00E10391" w:rsidRPr="00F559B5" w:rsidTr="00A66271">
        <w:trPr>
          <w:cantSplit/>
          <w:tblHeader/>
        </w:trPr>
        <w:tc>
          <w:tcPr>
            <w:tcW w:w="3686" w:type="dxa"/>
            <w:tcBorders>
              <w:bottom w:val="single" w:sz="4" w:space="0" w:color="auto"/>
            </w:tcBorders>
            <w:shd w:val="clear" w:color="auto" w:fill="548DD4" w:themeFill="text2" w:themeFillTint="99"/>
          </w:tcPr>
          <w:p w:rsidR="00E10391" w:rsidRPr="00F559B5" w:rsidRDefault="00E10391" w:rsidP="00186360">
            <w:pPr>
              <w:spacing w:before="40" w:after="40"/>
              <w:ind w:left="567" w:hanging="567"/>
              <w:rPr>
                <w:rFonts w:ascii="Arial" w:hAnsi="Arial" w:cs="Arial"/>
                <w:b/>
                <w:sz w:val="18"/>
                <w:szCs w:val="18"/>
              </w:rPr>
            </w:pPr>
            <w:r w:rsidRPr="00F559B5">
              <w:rPr>
                <w:rFonts w:ascii="Arial" w:hAnsi="Arial" w:cs="Arial"/>
                <w:b/>
                <w:sz w:val="18"/>
                <w:szCs w:val="18"/>
              </w:rPr>
              <w:t xml:space="preserve">Performance </w:t>
            </w:r>
            <w:r w:rsidR="00186360">
              <w:rPr>
                <w:rFonts w:ascii="Arial" w:hAnsi="Arial" w:cs="Arial"/>
                <w:b/>
                <w:sz w:val="18"/>
                <w:szCs w:val="18"/>
              </w:rPr>
              <w:t>c</w:t>
            </w:r>
            <w:r w:rsidRPr="00F559B5">
              <w:rPr>
                <w:rFonts w:ascii="Arial" w:hAnsi="Arial" w:cs="Arial"/>
                <w:b/>
                <w:sz w:val="18"/>
                <w:szCs w:val="18"/>
              </w:rPr>
              <w:t>riteria</w:t>
            </w:r>
          </w:p>
        </w:tc>
        <w:tc>
          <w:tcPr>
            <w:tcW w:w="6237" w:type="dxa"/>
            <w:tcBorders>
              <w:bottom w:val="single" w:sz="4" w:space="0" w:color="auto"/>
            </w:tcBorders>
            <w:shd w:val="clear" w:color="auto" w:fill="548DD4" w:themeFill="text2" w:themeFillTint="99"/>
          </w:tcPr>
          <w:p w:rsidR="00E10391" w:rsidRPr="00F559B5" w:rsidRDefault="00E10391" w:rsidP="00186360">
            <w:pPr>
              <w:spacing w:before="40" w:after="40"/>
              <w:ind w:left="284" w:hanging="284"/>
              <w:rPr>
                <w:rFonts w:ascii="Arial" w:hAnsi="Arial" w:cs="Arial"/>
                <w:b/>
                <w:sz w:val="18"/>
                <w:szCs w:val="18"/>
              </w:rPr>
            </w:pPr>
            <w:r w:rsidRPr="00F559B5">
              <w:rPr>
                <w:rFonts w:ascii="Arial" w:hAnsi="Arial" w:cs="Arial"/>
                <w:b/>
                <w:sz w:val="18"/>
                <w:szCs w:val="18"/>
              </w:rPr>
              <w:t xml:space="preserve">Evidence </w:t>
            </w:r>
            <w:r w:rsidR="00186360">
              <w:rPr>
                <w:rFonts w:ascii="Arial" w:hAnsi="Arial" w:cs="Arial"/>
                <w:b/>
                <w:sz w:val="18"/>
                <w:szCs w:val="18"/>
              </w:rPr>
              <w:t>e</w:t>
            </w:r>
            <w:r w:rsidRPr="00F559B5">
              <w:rPr>
                <w:rFonts w:ascii="Arial" w:hAnsi="Arial" w:cs="Arial"/>
                <w:b/>
                <w:sz w:val="18"/>
                <w:szCs w:val="18"/>
              </w:rPr>
              <w:t>xamples</w:t>
            </w:r>
          </w:p>
        </w:tc>
      </w:tr>
      <w:tr w:rsidR="00E10391" w:rsidRPr="00F559B5" w:rsidTr="00A66271">
        <w:trPr>
          <w:cantSplit/>
        </w:trPr>
        <w:tc>
          <w:tcPr>
            <w:tcW w:w="9923" w:type="dxa"/>
            <w:gridSpan w:val="2"/>
            <w:tcBorders>
              <w:bottom w:val="single" w:sz="4" w:space="0" w:color="auto"/>
            </w:tcBorders>
            <w:shd w:val="clear" w:color="auto" w:fill="FABF8F" w:themeFill="accent6" w:themeFillTint="99"/>
          </w:tcPr>
          <w:p w:rsidR="00E10391" w:rsidRPr="00F559B5" w:rsidRDefault="00E10391" w:rsidP="00A66271">
            <w:pPr>
              <w:keepNext/>
              <w:spacing w:before="40" w:after="40"/>
              <w:ind w:left="284" w:hanging="284"/>
              <w:rPr>
                <w:rFonts w:ascii="Arial" w:hAnsi="Arial" w:cs="Arial"/>
                <w:b/>
                <w:sz w:val="18"/>
                <w:szCs w:val="18"/>
              </w:rPr>
            </w:pPr>
            <w:r w:rsidRPr="00F559B5">
              <w:rPr>
                <w:rFonts w:ascii="Arial" w:hAnsi="Arial" w:cs="Arial"/>
                <w:b/>
                <w:sz w:val="18"/>
                <w:szCs w:val="18"/>
              </w:rPr>
              <w:t>Element 1 – Demonstrate personal and professional integrity</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1</w:t>
            </w:r>
            <w:r w:rsidRPr="00F559B5">
              <w:rPr>
                <w:rFonts w:ascii="Arial" w:hAnsi="Arial" w:cs="Arial"/>
                <w:sz w:val="18"/>
                <w:szCs w:val="18"/>
              </w:rPr>
              <w:tab/>
              <w:t>Understands the position of trust in which the profession is held.</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the fundamental obligations of pharmacists to behave and practise in a manner that upholds the reputation and standing of the profession.</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2</w:t>
            </w:r>
            <w:r w:rsidRPr="00F559B5">
              <w:rPr>
                <w:rFonts w:ascii="Arial" w:hAnsi="Arial" w:cs="Arial"/>
                <w:sz w:val="18"/>
                <w:szCs w:val="18"/>
              </w:rPr>
              <w:tab/>
              <w:t>Understands the scope of practice of a pharmacist in relation to that of other health professionals.</w:t>
            </w:r>
          </w:p>
        </w:tc>
        <w:tc>
          <w:tcPr>
            <w:tcW w:w="6237" w:type="dxa"/>
            <w:shd w:val="clear" w:color="auto" w:fill="DBE5F1" w:themeFill="accent1" w:themeFillTint="33"/>
          </w:tcPr>
          <w:p w:rsidR="000C48F1" w:rsidRDefault="00E10391">
            <w:pPr>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describe roles and activities </w:t>
            </w:r>
            <w:r w:rsidR="00E52035">
              <w:rPr>
                <w:rFonts w:ascii="Arial" w:hAnsi="Arial" w:cs="Arial"/>
                <w:sz w:val="18"/>
                <w:szCs w:val="18"/>
              </w:rPr>
              <w:t>carried out</w:t>
            </w:r>
            <w:r w:rsidRPr="00F559B5">
              <w:rPr>
                <w:rFonts w:ascii="Arial" w:hAnsi="Arial" w:cs="Arial"/>
                <w:sz w:val="18"/>
                <w:szCs w:val="18"/>
              </w:rPr>
              <w:t xml:space="preserve"> compared to the roles and expectations of collaborating health professionals.</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3</w:t>
            </w:r>
            <w:r w:rsidRPr="00F559B5">
              <w:rPr>
                <w:rFonts w:ascii="Arial" w:hAnsi="Arial" w:cs="Arial"/>
                <w:sz w:val="18"/>
                <w:szCs w:val="18"/>
              </w:rPr>
              <w:tab/>
              <w:t xml:space="preserve">Understands pharmacists are accountable for the services provided and the associated outcomes. </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accept responsibility for the actions and decisions taken in the course of </w:t>
            </w:r>
            <w:r>
              <w:rPr>
                <w:rFonts w:ascii="Arial" w:hAnsi="Arial" w:cs="Arial"/>
                <w:sz w:val="18"/>
                <w:szCs w:val="18"/>
              </w:rPr>
              <w:t>providing complex compounding services</w:t>
            </w:r>
            <w:r w:rsidRPr="00F559B5">
              <w:rPr>
                <w:rFonts w:ascii="Arial" w:hAnsi="Arial" w:cs="Arial"/>
                <w:sz w:val="18"/>
                <w:szCs w:val="18"/>
              </w:rPr>
              <w:t xml:space="preserve"> and the associated outcomes (direct and indirect).</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promptly respond to poor or potentially poor outcomes (e.g. in the event of error or misinformation).</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4</w:t>
            </w:r>
            <w:r w:rsidRPr="00F559B5">
              <w:rPr>
                <w:rFonts w:ascii="Arial" w:hAnsi="Arial" w:cs="Arial"/>
                <w:sz w:val="18"/>
                <w:szCs w:val="18"/>
              </w:rPr>
              <w:tab/>
              <w:t xml:space="preserve">Works within the limits of professional expertise. </w:t>
            </w:r>
          </w:p>
        </w:tc>
        <w:tc>
          <w:tcPr>
            <w:tcW w:w="6237" w:type="dxa"/>
            <w:shd w:val="clear" w:color="auto" w:fill="DBE5F1" w:themeFill="accent1" w:themeFillTint="33"/>
          </w:tcPr>
          <w:p w:rsidR="00E10391"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recognise and describe the limitations in their knowledge, skills and experience in relation to the </w:t>
            </w:r>
            <w:r>
              <w:rPr>
                <w:rFonts w:ascii="Arial" w:hAnsi="Arial" w:cs="Arial"/>
                <w:sz w:val="18"/>
                <w:szCs w:val="18"/>
              </w:rPr>
              <w:t>range and types of complex compounded products and related information</w:t>
            </w:r>
            <w:r w:rsidRPr="00F559B5">
              <w:rPr>
                <w:rFonts w:ascii="Arial" w:hAnsi="Arial" w:cs="Arial"/>
                <w:sz w:val="18"/>
                <w:szCs w:val="18"/>
              </w:rPr>
              <w:t xml:space="preserve"> provided.</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lastRenderedPageBreak/>
              <w:t>5</w:t>
            </w:r>
            <w:r w:rsidRPr="00F559B5">
              <w:rPr>
                <w:rFonts w:ascii="Arial" w:hAnsi="Arial" w:cs="Arial"/>
                <w:sz w:val="18"/>
                <w:szCs w:val="18"/>
              </w:rPr>
              <w:tab/>
              <w:t>Accesses additional information and/or expert advice and assistance when needed.</w:t>
            </w:r>
          </w:p>
        </w:tc>
        <w:tc>
          <w:tcPr>
            <w:tcW w:w="6237" w:type="dxa"/>
            <w:shd w:val="clear" w:color="auto" w:fill="DBE5F1" w:themeFill="accent1" w:themeFillTint="33"/>
          </w:tcPr>
          <w:p w:rsidR="00E10391" w:rsidRPr="00F559B5" w:rsidRDefault="00E10391" w:rsidP="00E10391">
            <w:pPr>
              <w:pStyle w:val="Header"/>
              <w:numPr>
                <w:ilvl w:val="0"/>
                <w:numId w:val="24"/>
              </w:numPr>
              <w:tabs>
                <w:tab w:val="clear" w:pos="4513"/>
                <w:tab w:val="clear" w:pos="9026"/>
              </w:tabs>
              <w:spacing w:before="40" w:after="40"/>
              <w:ind w:left="284" w:hanging="284"/>
              <w:rPr>
                <w:rFonts w:ascii="Arial" w:hAnsi="Arial" w:cs="Arial"/>
                <w:sz w:val="18"/>
                <w:szCs w:val="18"/>
              </w:rPr>
            </w:pPr>
            <w:r w:rsidRPr="00F559B5">
              <w:rPr>
                <w:rFonts w:ascii="Arial" w:hAnsi="Arial" w:cs="Arial"/>
                <w:sz w:val="18"/>
                <w:szCs w:val="18"/>
              </w:rPr>
              <w:t>Ability to recognise and describe the limitations in expertise and/or interpretive ability that would necessitate additional support being sought.</w:t>
            </w:r>
          </w:p>
          <w:p w:rsidR="00E10391" w:rsidRPr="00F559B5" w:rsidRDefault="00E10391" w:rsidP="00E10391">
            <w:pPr>
              <w:pStyle w:val="Header"/>
              <w:numPr>
                <w:ilvl w:val="0"/>
                <w:numId w:val="24"/>
              </w:numPr>
              <w:tabs>
                <w:tab w:val="clear" w:pos="4513"/>
                <w:tab w:val="clear" w:pos="9026"/>
              </w:tabs>
              <w:spacing w:before="40" w:after="40"/>
              <w:ind w:left="284"/>
              <w:rPr>
                <w:rFonts w:ascii="Arial" w:hAnsi="Arial" w:cs="Arial"/>
                <w:sz w:val="18"/>
                <w:szCs w:val="18"/>
              </w:rPr>
            </w:pPr>
            <w:r w:rsidRPr="00F559B5">
              <w:rPr>
                <w:rFonts w:ascii="Arial" w:hAnsi="Arial" w:cs="Arial"/>
                <w:sz w:val="18"/>
                <w:szCs w:val="18"/>
              </w:rPr>
              <w:t>Ability to describe how additional information or clarification can be or is obtained.</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6</w:t>
            </w:r>
            <w:r w:rsidRPr="00F559B5">
              <w:rPr>
                <w:rFonts w:ascii="Arial" w:hAnsi="Arial" w:cs="Arial"/>
                <w:sz w:val="18"/>
                <w:szCs w:val="18"/>
              </w:rPr>
              <w:tab/>
              <w:t>Contributes to the ongoing development of the profession.</w:t>
            </w:r>
          </w:p>
        </w:tc>
        <w:tc>
          <w:tcPr>
            <w:tcW w:w="6237" w:type="dxa"/>
            <w:shd w:val="clear" w:color="auto" w:fill="DBE5F1" w:themeFill="accent1" w:themeFillTint="33"/>
          </w:tcPr>
          <w:p w:rsidR="00E10391" w:rsidRPr="00F559B5" w:rsidRDefault="00E10391" w:rsidP="00E10391">
            <w:pPr>
              <w:pStyle w:val="Header"/>
              <w:numPr>
                <w:ilvl w:val="0"/>
                <w:numId w:val="24"/>
              </w:numPr>
              <w:tabs>
                <w:tab w:val="clear" w:pos="4513"/>
                <w:tab w:val="clear" w:pos="9026"/>
              </w:tabs>
              <w:spacing w:before="40" w:after="40"/>
              <w:ind w:left="284" w:hanging="284"/>
              <w:rPr>
                <w:rFonts w:ascii="Arial" w:hAnsi="Arial" w:cs="Arial"/>
                <w:sz w:val="18"/>
                <w:szCs w:val="18"/>
              </w:rPr>
            </w:pPr>
            <w:r w:rsidRPr="00F559B5">
              <w:rPr>
                <w:rFonts w:ascii="Arial" w:hAnsi="Arial" w:cs="Arial"/>
                <w:sz w:val="18"/>
                <w:szCs w:val="18"/>
              </w:rPr>
              <w:t>Ability to explain the benefits of participating in professional organisations and/or committees.</w:t>
            </w:r>
          </w:p>
          <w:p w:rsidR="00E10391" w:rsidRPr="00F559B5" w:rsidRDefault="00E10391" w:rsidP="00E10391">
            <w:pPr>
              <w:pStyle w:val="Header"/>
              <w:numPr>
                <w:ilvl w:val="0"/>
                <w:numId w:val="24"/>
              </w:numPr>
              <w:tabs>
                <w:tab w:val="clear" w:pos="4513"/>
                <w:tab w:val="clear" w:pos="9026"/>
              </w:tabs>
              <w:spacing w:before="40" w:after="40"/>
              <w:ind w:left="284" w:hanging="284"/>
              <w:rPr>
                <w:rFonts w:ascii="Arial" w:hAnsi="Arial" w:cs="Arial"/>
                <w:sz w:val="18"/>
                <w:szCs w:val="18"/>
              </w:rPr>
            </w:pPr>
            <w:r w:rsidRPr="00F559B5">
              <w:rPr>
                <w:rFonts w:ascii="Arial" w:hAnsi="Arial" w:cs="Arial"/>
                <w:sz w:val="18"/>
                <w:szCs w:val="18"/>
              </w:rPr>
              <w:t>Ability to actively participate in professional organisations and/or committees.</w:t>
            </w:r>
          </w:p>
        </w:tc>
      </w:tr>
      <w:tr w:rsidR="00E10391" w:rsidRPr="00F559B5" w:rsidTr="00A66271">
        <w:trPr>
          <w:cantSplit/>
        </w:trPr>
        <w:tc>
          <w:tcPr>
            <w:tcW w:w="9923" w:type="dxa"/>
            <w:gridSpan w:val="2"/>
            <w:tcBorders>
              <w:bottom w:val="single" w:sz="4" w:space="0" w:color="auto"/>
            </w:tcBorders>
            <w:shd w:val="clear" w:color="auto" w:fill="FABF8F" w:themeFill="accent6" w:themeFillTint="99"/>
          </w:tcPr>
          <w:p w:rsidR="00E10391" w:rsidRPr="00F559B5" w:rsidRDefault="00E10391" w:rsidP="00A66271">
            <w:pPr>
              <w:spacing w:before="40" w:after="40"/>
              <w:ind w:left="284" w:hanging="284"/>
              <w:rPr>
                <w:rFonts w:ascii="Arial" w:hAnsi="Arial" w:cs="Arial"/>
                <w:b/>
                <w:sz w:val="18"/>
                <w:szCs w:val="18"/>
              </w:rPr>
            </w:pPr>
            <w:r w:rsidRPr="00F559B5">
              <w:rPr>
                <w:rFonts w:ascii="Arial" w:hAnsi="Arial" w:cs="Arial"/>
                <w:b/>
                <w:sz w:val="18"/>
                <w:szCs w:val="18"/>
              </w:rPr>
              <w:t>Element 2 – Contribute to enhanced service quality</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1</w:t>
            </w:r>
            <w:r w:rsidRPr="00F559B5">
              <w:rPr>
                <w:rFonts w:ascii="Arial" w:hAnsi="Arial" w:cs="Arial"/>
                <w:sz w:val="18"/>
                <w:szCs w:val="18"/>
              </w:rPr>
              <w:tab/>
              <w:t xml:space="preserve">Understands the consumer’s right to receive safe and high quality pharmacy services. </w:t>
            </w:r>
          </w:p>
        </w:tc>
        <w:tc>
          <w:tcPr>
            <w:tcW w:w="6237" w:type="dxa"/>
            <w:shd w:val="clear" w:color="auto" w:fill="DBE5F1" w:themeFill="accent1" w:themeFillTint="33"/>
          </w:tcPr>
          <w:p w:rsidR="00E10391" w:rsidRPr="00F559B5" w:rsidRDefault="00E10391" w:rsidP="00E10391">
            <w:pPr>
              <w:pStyle w:val="Header"/>
              <w:numPr>
                <w:ilvl w:val="0"/>
                <w:numId w:val="24"/>
              </w:numPr>
              <w:tabs>
                <w:tab w:val="clear" w:pos="4513"/>
                <w:tab w:val="clear" w:pos="9026"/>
              </w:tabs>
              <w:spacing w:before="40" w:after="40"/>
              <w:ind w:left="284" w:hanging="284"/>
              <w:rPr>
                <w:rFonts w:ascii="Arial" w:hAnsi="Arial" w:cs="Arial"/>
                <w:sz w:val="18"/>
                <w:szCs w:val="18"/>
              </w:rPr>
            </w:pPr>
            <w:r w:rsidRPr="00F559B5">
              <w:rPr>
                <w:rFonts w:ascii="Arial" w:hAnsi="Arial" w:cs="Arial"/>
                <w:sz w:val="18"/>
                <w:szCs w:val="18"/>
              </w:rPr>
              <w:t>Ability to explain the obligation to apply professional care and expertise to deliver high quality pharmacy services.</w:t>
            </w:r>
          </w:p>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lead by example and promote consistent high quality work from others.</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pStyle w:val="Header"/>
              <w:spacing w:before="40" w:after="40"/>
              <w:ind w:left="397" w:hanging="397"/>
              <w:rPr>
                <w:rFonts w:ascii="Arial" w:hAnsi="Arial" w:cs="Arial"/>
                <w:sz w:val="18"/>
                <w:szCs w:val="18"/>
              </w:rPr>
            </w:pPr>
            <w:r w:rsidRPr="00F559B5">
              <w:rPr>
                <w:rFonts w:ascii="Arial" w:hAnsi="Arial" w:cs="Arial"/>
                <w:sz w:val="18"/>
                <w:szCs w:val="18"/>
              </w:rPr>
              <w:t>2</w:t>
            </w:r>
            <w:r w:rsidRPr="00F559B5">
              <w:rPr>
                <w:rFonts w:ascii="Arial" w:hAnsi="Arial" w:cs="Arial"/>
                <w:sz w:val="18"/>
                <w:szCs w:val="18"/>
              </w:rPr>
              <w:tab/>
              <w:t>Understands the means by which the quality of pharmacy services can be maintained and improved.</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 xml:space="preserve">Ability to explain the difference between </w:t>
            </w:r>
            <w:r>
              <w:rPr>
                <w:rFonts w:ascii="Arial" w:hAnsi="Arial" w:cs="Arial"/>
                <w:sz w:val="18"/>
                <w:szCs w:val="18"/>
              </w:rPr>
              <w:t xml:space="preserve">quality control, </w:t>
            </w:r>
            <w:r w:rsidRPr="00F559B5">
              <w:rPr>
                <w:rFonts w:ascii="Arial" w:hAnsi="Arial" w:cs="Arial"/>
                <w:sz w:val="18"/>
                <w:szCs w:val="18"/>
              </w:rPr>
              <w:t>quality improvement and quality assurance.</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describe </w:t>
            </w:r>
            <w:r>
              <w:rPr>
                <w:rFonts w:ascii="Arial" w:hAnsi="Arial" w:cs="Arial"/>
                <w:sz w:val="18"/>
                <w:szCs w:val="18"/>
              </w:rPr>
              <w:t>quality control,</w:t>
            </w:r>
            <w:r w:rsidR="0090290C">
              <w:rPr>
                <w:rFonts w:ascii="Arial" w:hAnsi="Arial" w:cs="Arial"/>
                <w:sz w:val="18"/>
                <w:szCs w:val="18"/>
              </w:rPr>
              <w:t xml:space="preserve"> </w:t>
            </w:r>
            <w:r w:rsidRPr="00F559B5">
              <w:rPr>
                <w:rFonts w:ascii="Arial" w:hAnsi="Arial" w:cs="Arial"/>
                <w:sz w:val="18"/>
                <w:szCs w:val="18"/>
              </w:rPr>
              <w:t>quality assurance and quality improvement methodologies, including the types of measures that can be used</w:t>
            </w:r>
            <w:r>
              <w:rPr>
                <w:rFonts w:ascii="Arial" w:hAnsi="Arial" w:cs="Arial"/>
                <w:sz w:val="18"/>
                <w:szCs w:val="18"/>
              </w:rPr>
              <w:t xml:space="preserve"> in a complex compounding service</w:t>
            </w:r>
            <w:r w:rsidRPr="00F559B5">
              <w:rPr>
                <w:rFonts w:ascii="Arial" w:hAnsi="Arial" w:cs="Arial"/>
                <w:sz w:val="18"/>
                <w:szCs w:val="18"/>
              </w:rPr>
              <w:t>.</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pStyle w:val="Header"/>
              <w:spacing w:before="40" w:after="40"/>
              <w:ind w:left="397" w:hanging="397"/>
              <w:rPr>
                <w:rFonts w:ascii="Arial" w:hAnsi="Arial" w:cs="Arial"/>
                <w:sz w:val="18"/>
                <w:szCs w:val="18"/>
              </w:rPr>
            </w:pPr>
            <w:r w:rsidRPr="00F559B5">
              <w:rPr>
                <w:rFonts w:ascii="Arial" w:hAnsi="Arial" w:cs="Arial"/>
                <w:sz w:val="18"/>
                <w:szCs w:val="18"/>
              </w:rPr>
              <w:t>3</w:t>
            </w:r>
            <w:r w:rsidRPr="00F559B5">
              <w:rPr>
                <w:rFonts w:ascii="Arial" w:hAnsi="Arial" w:cs="Arial"/>
                <w:sz w:val="18"/>
                <w:szCs w:val="18"/>
              </w:rPr>
              <w:tab/>
              <w:t>Accepts responsibility for assuring the quality of professional services provided.</w:t>
            </w:r>
          </w:p>
        </w:tc>
        <w:tc>
          <w:tcPr>
            <w:tcW w:w="6237" w:type="dxa"/>
            <w:shd w:val="clear" w:color="auto" w:fill="DBE5F1" w:themeFill="accent1" w:themeFillTint="33"/>
          </w:tcPr>
          <w:p w:rsidR="00E10391" w:rsidRPr="00F559B5" w:rsidRDefault="00E10391" w:rsidP="00E10391">
            <w:pPr>
              <w:pStyle w:val="Header"/>
              <w:numPr>
                <w:ilvl w:val="0"/>
                <w:numId w:val="24"/>
              </w:numPr>
              <w:tabs>
                <w:tab w:val="clear" w:pos="4513"/>
                <w:tab w:val="clear" w:pos="9026"/>
              </w:tabs>
              <w:spacing w:before="40" w:after="40"/>
              <w:ind w:left="284"/>
              <w:rPr>
                <w:rFonts w:ascii="Arial" w:hAnsi="Arial" w:cs="Arial"/>
                <w:sz w:val="18"/>
                <w:szCs w:val="18"/>
              </w:rPr>
            </w:pPr>
            <w:r w:rsidRPr="00F559B5">
              <w:rPr>
                <w:rFonts w:ascii="Arial" w:hAnsi="Arial" w:cs="Arial"/>
                <w:sz w:val="18"/>
                <w:szCs w:val="18"/>
              </w:rPr>
              <w:t xml:space="preserve">Ability to describe the tools and methods available for monitoring the quality of </w:t>
            </w:r>
            <w:r>
              <w:rPr>
                <w:rFonts w:ascii="Arial" w:hAnsi="Arial" w:cs="Arial"/>
                <w:sz w:val="18"/>
                <w:szCs w:val="18"/>
              </w:rPr>
              <w:t>complex compounding</w:t>
            </w:r>
            <w:r w:rsidRPr="00F559B5">
              <w:rPr>
                <w:rFonts w:ascii="Arial" w:hAnsi="Arial" w:cs="Arial"/>
                <w:sz w:val="18"/>
                <w:szCs w:val="18"/>
              </w:rPr>
              <w:t xml:space="preserve"> services provided (e.g. consumer feedback, self-audit against quality standards).</w:t>
            </w:r>
          </w:p>
          <w:p w:rsidR="00E10391" w:rsidRPr="00F559B5" w:rsidRDefault="00E10391" w:rsidP="00E10391">
            <w:pPr>
              <w:pStyle w:val="Header"/>
              <w:numPr>
                <w:ilvl w:val="0"/>
                <w:numId w:val="24"/>
              </w:numPr>
              <w:tabs>
                <w:tab w:val="clear" w:pos="4513"/>
                <w:tab w:val="clear" w:pos="9026"/>
              </w:tabs>
              <w:spacing w:before="40" w:after="40"/>
              <w:ind w:left="284"/>
              <w:rPr>
                <w:rFonts w:ascii="Arial" w:hAnsi="Arial" w:cs="Arial"/>
                <w:sz w:val="18"/>
                <w:szCs w:val="18"/>
              </w:rPr>
            </w:pPr>
            <w:r w:rsidRPr="00F559B5">
              <w:rPr>
                <w:rFonts w:ascii="Arial" w:hAnsi="Arial" w:cs="Arial"/>
                <w:sz w:val="18"/>
                <w:szCs w:val="18"/>
              </w:rPr>
              <w:t>Ability to assess or self-audit the quality of professional services provided against endorsed standards and guidelines to identify where change would be beneficial.</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pStyle w:val="Header"/>
              <w:spacing w:before="40" w:after="40"/>
              <w:ind w:left="397" w:hanging="397"/>
              <w:rPr>
                <w:rFonts w:ascii="Arial" w:hAnsi="Arial" w:cs="Arial"/>
                <w:sz w:val="18"/>
                <w:szCs w:val="18"/>
              </w:rPr>
            </w:pPr>
            <w:r w:rsidRPr="00F559B5">
              <w:rPr>
                <w:rFonts w:ascii="Arial" w:hAnsi="Arial" w:cs="Arial"/>
                <w:sz w:val="18"/>
                <w:szCs w:val="18"/>
              </w:rPr>
              <w:t>4</w:t>
            </w:r>
            <w:r w:rsidRPr="00F559B5">
              <w:rPr>
                <w:rFonts w:ascii="Arial" w:hAnsi="Arial" w:cs="Arial"/>
                <w:sz w:val="18"/>
                <w:szCs w:val="18"/>
              </w:rPr>
              <w:tab/>
              <w:t xml:space="preserve">Seeks continuous improvement in service quality. </w:t>
            </w:r>
          </w:p>
        </w:tc>
        <w:tc>
          <w:tcPr>
            <w:tcW w:w="6237" w:type="dxa"/>
            <w:shd w:val="clear" w:color="auto" w:fill="DBE5F1" w:themeFill="accent1" w:themeFillTint="33"/>
          </w:tcPr>
          <w:p w:rsidR="00E10391"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describe and/or demonstrate quality improvement and/or quality assurance activities </w:t>
            </w:r>
            <w:r>
              <w:rPr>
                <w:rFonts w:ascii="Arial" w:hAnsi="Arial" w:cs="Arial"/>
                <w:sz w:val="18"/>
                <w:szCs w:val="18"/>
              </w:rPr>
              <w:t xml:space="preserve">for complex compounding </w:t>
            </w:r>
            <w:r w:rsidRPr="00F559B5">
              <w:rPr>
                <w:rFonts w:ascii="Arial" w:hAnsi="Arial" w:cs="Arial"/>
                <w:sz w:val="18"/>
                <w:szCs w:val="18"/>
              </w:rPr>
              <w:t>in which they are or have been participants.</w:t>
            </w:r>
          </w:p>
        </w:tc>
      </w:tr>
      <w:tr w:rsidR="00E10391" w:rsidRPr="00F559B5" w:rsidTr="00A66271">
        <w:trPr>
          <w:cantSplit/>
          <w:trHeight w:val="1282"/>
        </w:trPr>
        <w:tc>
          <w:tcPr>
            <w:tcW w:w="3686" w:type="dxa"/>
            <w:shd w:val="clear" w:color="auto" w:fill="DBE5F1" w:themeFill="accent1" w:themeFillTint="33"/>
          </w:tcPr>
          <w:p w:rsidR="00E10391" w:rsidRPr="00F559B5" w:rsidRDefault="00E10391" w:rsidP="000C48F1">
            <w:pPr>
              <w:pStyle w:val="Header"/>
              <w:spacing w:before="40" w:after="40"/>
              <w:ind w:left="397" w:hanging="397"/>
              <w:rPr>
                <w:rFonts w:ascii="Arial" w:hAnsi="Arial" w:cs="Arial"/>
                <w:sz w:val="18"/>
                <w:szCs w:val="18"/>
              </w:rPr>
            </w:pPr>
            <w:r w:rsidRPr="00F559B5">
              <w:rPr>
                <w:rFonts w:ascii="Arial" w:hAnsi="Arial" w:cs="Arial"/>
                <w:sz w:val="18"/>
                <w:szCs w:val="18"/>
              </w:rPr>
              <w:t>5</w:t>
            </w:r>
            <w:r w:rsidRPr="00F559B5">
              <w:rPr>
                <w:rFonts w:ascii="Arial" w:hAnsi="Arial" w:cs="Arial"/>
                <w:sz w:val="18"/>
                <w:szCs w:val="18"/>
              </w:rPr>
              <w:tab/>
              <w:t>Shows initiative in implementing and evaluating changes to practice.</w:t>
            </w:r>
          </w:p>
        </w:tc>
        <w:tc>
          <w:tcPr>
            <w:tcW w:w="6237" w:type="dxa"/>
            <w:shd w:val="clear" w:color="auto" w:fill="DBE5F1" w:themeFill="accent1" w:themeFillTint="33"/>
          </w:tcPr>
          <w:p w:rsidR="00E10391" w:rsidRPr="00F559B5" w:rsidRDefault="00E10391" w:rsidP="00E10391">
            <w:pPr>
              <w:pStyle w:val="Header"/>
              <w:numPr>
                <w:ilvl w:val="0"/>
                <w:numId w:val="24"/>
              </w:numPr>
              <w:tabs>
                <w:tab w:val="clear" w:pos="4513"/>
                <w:tab w:val="clear" w:pos="9026"/>
              </w:tabs>
              <w:spacing w:before="40" w:after="40"/>
              <w:ind w:left="284"/>
              <w:rPr>
                <w:rFonts w:ascii="Arial" w:hAnsi="Arial" w:cs="Arial"/>
                <w:sz w:val="18"/>
                <w:szCs w:val="18"/>
              </w:rPr>
            </w:pPr>
            <w:r w:rsidRPr="00F559B5">
              <w:rPr>
                <w:rFonts w:ascii="Arial" w:hAnsi="Arial" w:cs="Arial"/>
                <w:sz w:val="18"/>
                <w:szCs w:val="18"/>
              </w:rPr>
              <w:t>Ability to describe or demonstrate changes in service delivery or professional practice that are a direct result of a quality improvement activity.</w:t>
            </w:r>
          </w:p>
          <w:p w:rsidR="00E10391" w:rsidRPr="00F559B5" w:rsidRDefault="00E10391" w:rsidP="00E10391">
            <w:pPr>
              <w:pStyle w:val="Header"/>
              <w:numPr>
                <w:ilvl w:val="0"/>
                <w:numId w:val="24"/>
              </w:numPr>
              <w:tabs>
                <w:tab w:val="clear" w:pos="4513"/>
                <w:tab w:val="clear" w:pos="9026"/>
              </w:tabs>
              <w:spacing w:before="40" w:after="40"/>
              <w:ind w:left="284"/>
              <w:rPr>
                <w:rFonts w:ascii="Arial" w:hAnsi="Arial" w:cs="Arial"/>
                <w:sz w:val="18"/>
                <w:szCs w:val="18"/>
              </w:rPr>
            </w:pPr>
            <w:r w:rsidRPr="00F559B5">
              <w:rPr>
                <w:rFonts w:ascii="Arial" w:hAnsi="Arial" w:cs="Arial"/>
                <w:sz w:val="18"/>
                <w:szCs w:val="18"/>
              </w:rPr>
              <w:t>Ability to describe ways in which the outcomes of practice change can be evaluated.</w:t>
            </w:r>
          </w:p>
        </w:tc>
      </w:tr>
    </w:tbl>
    <w:p w:rsidR="00E10391" w:rsidRPr="00F559B5" w:rsidRDefault="00E10391" w:rsidP="00E10391">
      <w:pPr>
        <w:rPr>
          <w:rFonts w:ascii="Arial" w:hAnsi="Arial" w:cs="Arial"/>
          <w:sz w:val="18"/>
          <w:szCs w:val="18"/>
        </w:rPr>
      </w:pPr>
    </w:p>
    <w:p w:rsidR="00E10391" w:rsidRPr="00F559B5" w:rsidRDefault="00E10391" w:rsidP="00E10391">
      <w:pPr>
        <w:rPr>
          <w:rFonts w:ascii="Arial" w:hAnsi="Arial" w:cs="Arial"/>
          <w:sz w:val="18"/>
          <w:szCs w:val="18"/>
        </w:rPr>
      </w:pPr>
    </w:p>
    <w:p w:rsidR="00E10391" w:rsidRPr="00D80945" w:rsidRDefault="00E10391" w:rsidP="00E10391">
      <w:pPr>
        <w:pStyle w:val="Heading3"/>
        <w:rPr>
          <w:rFonts w:ascii="Arial" w:hAnsi="Arial" w:cs="Arial"/>
        </w:rPr>
      </w:pPr>
      <w:bookmarkStart w:id="9" w:name="_Toc377638231"/>
      <w:r w:rsidRPr="00D80945">
        <w:rPr>
          <w:rFonts w:ascii="Arial" w:hAnsi="Arial" w:cs="Arial"/>
          <w:color w:val="FF0000"/>
        </w:rPr>
        <w:t>Standard 1.3</w:t>
      </w:r>
      <w:r w:rsidRPr="00D80945">
        <w:rPr>
          <w:rFonts w:ascii="Arial" w:hAnsi="Arial" w:cs="Arial"/>
        </w:rPr>
        <w:t xml:space="preserve"> Deliver </w:t>
      </w:r>
      <w:r w:rsidR="00937C0C">
        <w:rPr>
          <w:rFonts w:ascii="Arial" w:hAnsi="Arial" w:cs="Arial"/>
        </w:rPr>
        <w:t>‘</w:t>
      </w:r>
      <w:r w:rsidRPr="00D80945">
        <w:rPr>
          <w:rFonts w:ascii="Arial" w:hAnsi="Arial" w:cs="Arial"/>
        </w:rPr>
        <w:t>patient-centred</w:t>
      </w:r>
      <w:r w:rsidR="00937C0C">
        <w:rPr>
          <w:rFonts w:ascii="Arial" w:hAnsi="Arial" w:cs="Arial"/>
        </w:rPr>
        <w:t>’</w:t>
      </w:r>
      <w:r w:rsidRPr="00D80945">
        <w:rPr>
          <w:rFonts w:ascii="Arial" w:hAnsi="Arial" w:cs="Arial"/>
        </w:rPr>
        <w:t xml:space="preserve"> care</w:t>
      </w:r>
      <w:bookmarkEnd w:id="9"/>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237"/>
      </w:tblGrid>
      <w:tr w:rsidR="00E10391" w:rsidRPr="00F559B5" w:rsidTr="00A66271">
        <w:trPr>
          <w:cantSplit/>
          <w:tblHeader/>
        </w:trPr>
        <w:tc>
          <w:tcPr>
            <w:tcW w:w="9923" w:type="dxa"/>
            <w:gridSpan w:val="2"/>
            <w:tcBorders>
              <w:top w:val="nil"/>
              <w:left w:val="nil"/>
              <w:right w:val="nil"/>
            </w:tcBorders>
          </w:tcPr>
          <w:p w:rsidR="00E10391" w:rsidRPr="00F559B5" w:rsidRDefault="00E10391" w:rsidP="00A66271">
            <w:pPr>
              <w:spacing w:before="40" w:after="40"/>
              <w:rPr>
                <w:rFonts w:ascii="Arial" w:hAnsi="Arial" w:cs="Arial"/>
                <w:b/>
                <w:i/>
                <w:sz w:val="18"/>
                <w:szCs w:val="18"/>
              </w:rPr>
            </w:pPr>
          </w:p>
        </w:tc>
      </w:tr>
      <w:tr w:rsidR="00E10391" w:rsidRPr="00F559B5" w:rsidTr="00A66271">
        <w:trPr>
          <w:cantSplit/>
          <w:tblHeader/>
        </w:trPr>
        <w:tc>
          <w:tcPr>
            <w:tcW w:w="3686" w:type="dxa"/>
            <w:tcBorders>
              <w:bottom w:val="single" w:sz="4" w:space="0" w:color="auto"/>
            </w:tcBorders>
            <w:shd w:val="clear" w:color="auto" w:fill="548DD4" w:themeFill="text2" w:themeFillTint="99"/>
          </w:tcPr>
          <w:p w:rsidR="00E10391" w:rsidRPr="00F559B5" w:rsidRDefault="00E10391" w:rsidP="00186360">
            <w:pPr>
              <w:spacing w:before="40" w:after="40"/>
              <w:ind w:left="567" w:hanging="567"/>
              <w:rPr>
                <w:rFonts w:ascii="Arial" w:hAnsi="Arial" w:cs="Arial"/>
                <w:b/>
                <w:sz w:val="18"/>
                <w:szCs w:val="18"/>
              </w:rPr>
            </w:pPr>
            <w:r w:rsidRPr="00F559B5">
              <w:rPr>
                <w:rFonts w:ascii="Arial" w:hAnsi="Arial" w:cs="Arial"/>
                <w:b/>
                <w:sz w:val="18"/>
                <w:szCs w:val="18"/>
              </w:rPr>
              <w:t xml:space="preserve">Performance </w:t>
            </w:r>
            <w:r w:rsidR="00186360">
              <w:rPr>
                <w:rFonts w:ascii="Arial" w:hAnsi="Arial" w:cs="Arial"/>
                <w:b/>
                <w:sz w:val="18"/>
                <w:szCs w:val="18"/>
              </w:rPr>
              <w:t>c</w:t>
            </w:r>
            <w:r w:rsidRPr="00F559B5">
              <w:rPr>
                <w:rFonts w:ascii="Arial" w:hAnsi="Arial" w:cs="Arial"/>
                <w:b/>
                <w:sz w:val="18"/>
                <w:szCs w:val="18"/>
              </w:rPr>
              <w:t>riteria</w:t>
            </w:r>
          </w:p>
        </w:tc>
        <w:tc>
          <w:tcPr>
            <w:tcW w:w="6237" w:type="dxa"/>
            <w:tcBorders>
              <w:bottom w:val="single" w:sz="4" w:space="0" w:color="auto"/>
            </w:tcBorders>
            <w:shd w:val="clear" w:color="auto" w:fill="548DD4" w:themeFill="text2" w:themeFillTint="99"/>
          </w:tcPr>
          <w:p w:rsidR="00E10391" w:rsidRPr="00F559B5" w:rsidRDefault="00E10391" w:rsidP="00186360">
            <w:pPr>
              <w:spacing w:before="40" w:after="40"/>
              <w:ind w:left="284" w:hanging="284"/>
              <w:rPr>
                <w:rFonts w:ascii="Arial" w:hAnsi="Arial" w:cs="Arial"/>
                <w:b/>
                <w:sz w:val="18"/>
                <w:szCs w:val="18"/>
              </w:rPr>
            </w:pPr>
            <w:r w:rsidRPr="00F559B5">
              <w:rPr>
                <w:rFonts w:ascii="Arial" w:hAnsi="Arial" w:cs="Arial"/>
                <w:b/>
                <w:sz w:val="18"/>
                <w:szCs w:val="18"/>
              </w:rPr>
              <w:t xml:space="preserve">Evidence </w:t>
            </w:r>
            <w:r w:rsidR="00186360">
              <w:rPr>
                <w:rFonts w:ascii="Arial" w:hAnsi="Arial" w:cs="Arial"/>
                <w:b/>
                <w:sz w:val="18"/>
                <w:szCs w:val="18"/>
              </w:rPr>
              <w:t>e</w:t>
            </w:r>
            <w:r w:rsidRPr="00F559B5">
              <w:rPr>
                <w:rFonts w:ascii="Arial" w:hAnsi="Arial" w:cs="Arial"/>
                <w:b/>
                <w:sz w:val="18"/>
                <w:szCs w:val="18"/>
              </w:rPr>
              <w:t>xamples</w:t>
            </w:r>
          </w:p>
        </w:tc>
      </w:tr>
      <w:tr w:rsidR="00E10391" w:rsidRPr="00F559B5" w:rsidTr="00A66271">
        <w:trPr>
          <w:cantSplit/>
        </w:trPr>
        <w:tc>
          <w:tcPr>
            <w:tcW w:w="9923" w:type="dxa"/>
            <w:gridSpan w:val="2"/>
            <w:tcBorders>
              <w:bottom w:val="single" w:sz="4" w:space="0" w:color="auto"/>
            </w:tcBorders>
            <w:shd w:val="clear" w:color="auto" w:fill="FABF8F" w:themeFill="accent6" w:themeFillTint="99"/>
          </w:tcPr>
          <w:p w:rsidR="00E10391" w:rsidRPr="00F559B5" w:rsidRDefault="00E10391" w:rsidP="00A66271">
            <w:pPr>
              <w:spacing w:before="40" w:after="40"/>
              <w:ind w:left="284" w:hanging="284"/>
              <w:rPr>
                <w:rFonts w:ascii="Arial" w:hAnsi="Arial" w:cs="Arial"/>
                <w:b/>
                <w:sz w:val="18"/>
                <w:szCs w:val="18"/>
              </w:rPr>
            </w:pPr>
            <w:r w:rsidRPr="00F559B5">
              <w:rPr>
                <w:rFonts w:ascii="Arial" w:hAnsi="Arial" w:cs="Arial"/>
                <w:b/>
                <w:sz w:val="18"/>
                <w:szCs w:val="18"/>
              </w:rPr>
              <w:t>Element 1 – Maintain primary focus on the consumer</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1</w:t>
            </w:r>
            <w:r w:rsidRPr="00F559B5">
              <w:rPr>
                <w:rFonts w:ascii="Arial" w:hAnsi="Arial" w:cs="Arial"/>
                <w:sz w:val="18"/>
                <w:szCs w:val="18"/>
              </w:rPr>
              <w:tab/>
              <w:t>Understands the primacy of consumers and their needs.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describe an approach to service delivery that, as far as practicable, accommodates the wishes and needs of consumers.</w:t>
            </w:r>
          </w:p>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discuss the rights of consumers to access professional services and advice regardless of their health status (including disease state or level of disability).</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2</w:t>
            </w:r>
            <w:r w:rsidRPr="00F559B5">
              <w:rPr>
                <w:rFonts w:ascii="Arial" w:hAnsi="Arial" w:cs="Arial"/>
                <w:sz w:val="18"/>
                <w:szCs w:val="18"/>
              </w:rPr>
              <w:tab/>
              <w:t>Respects the rights of consumers to participate in decision-making, control their personal information and make choices about their health care.</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u w:val="single"/>
              </w:rPr>
            </w:pPr>
            <w:r w:rsidRPr="00F559B5">
              <w:rPr>
                <w:rFonts w:ascii="Arial" w:hAnsi="Arial" w:cs="Arial"/>
                <w:sz w:val="18"/>
                <w:szCs w:val="18"/>
              </w:rPr>
              <w:t>Ability to discuss the importance of consumer involvement/engagement in health service delivery (e.g. make their own choices about who to involve in their care and whether to accept or decline advice, services or products).</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lastRenderedPageBreak/>
              <w:t>3</w:t>
            </w:r>
            <w:r w:rsidRPr="00F559B5">
              <w:rPr>
                <w:rFonts w:ascii="Arial" w:hAnsi="Arial" w:cs="Arial"/>
                <w:sz w:val="18"/>
                <w:szCs w:val="18"/>
              </w:rPr>
              <w:tab/>
              <w:t>Accepts and supports the consumer’s rights to be informed and make autonomous decisions.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u w:val="single"/>
              </w:rPr>
            </w:pPr>
            <w:r w:rsidRPr="00F559B5">
              <w:rPr>
                <w:rFonts w:ascii="Arial" w:hAnsi="Arial" w:cs="Arial"/>
                <w:sz w:val="18"/>
                <w:szCs w:val="18"/>
              </w:rPr>
              <w:t xml:space="preserve">Ability to explain the scope of information that might be covered to clearly and openly inform consumers about </w:t>
            </w:r>
            <w:r>
              <w:rPr>
                <w:rFonts w:ascii="Arial" w:hAnsi="Arial" w:cs="Arial"/>
                <w:sz w:val="18"/>
                <w:szCs w:val="18"/>
              </w:rPr>
              <w:t xml:space="preserve">complex compounding </w:t>
            </w:r>
            <w:r w:rsidRPr="00F559B5">
              <w:rPr>
                <w:rFonts w:ascii="Arial" w:hAnsi="Arial" w:cs="Arial"/>
                <w:sz w:val="18"/>
                <w:szCs w:val="18"/>
              </w:rPr>
              <w:t xml:space="preserve">services (e.g. service description, </w:t>
            </w:r>
            <w:r>
              <w:rPr>
                <w:rFonts w:ascii="Arial" w:hAnsi="Arial" w:cs="Arial"/>
                <w:sz w:val="18"/>
                <w:szCs w:val="18"/>
              </w:rPr>
              <w:t xml:space="preserve">place of products compared to commercially available products, and product and service </w:t>
            </w:r>
            <w:r w:rsidRPr="00F559B5">
              <w:rPr>
                <w:rFonts w:ascii="Arial" w:hAnsi="Arial" w:cs="Arial"/>
                <w:sz w:val="18"/>
                <w:szCs w:val="18"/>
              </w:rPr>
              <w:t>costs).</w:t>
            </w:r>
          </w:p>
          <w:p w:rsidR="00E10391" w:rsidRPr="00F559B5" w:rsidRDefault="00E10391" w:rsidP="00E10391">
            <w:pPr>
              <w:numPr>
                <w:ilvl w:val="0"/>
                <w:numId w:val="24"/>
              </w:numPr>
              <w:spacing w:before="40" w:after="40"/>
              <w:ind w:left="284"/>
              <w:rPr>
                <w:rFonts w:ascii="Arial" w:hAnsi="Arial" w:cs="Arial"/>
                <w:sz w:val="18"/>
                <w:szCs w:val="18"/>
                <w:u w:val="single"/>
              </w:rPr>
            </w:pPr>
            <w:r w:rsidRPr="00F559B5">
              <w:rPr>
                <w:rFonts w:ascii="Arial" w:hAnsi="Arial" w:cs="Arial"/>
                <w:sz w:val="18"/>
                <w:szCs w:val="18"/>
              </w:rPr>
              <w:t>Ability to support and accept consumer decisions and choices about the health care services they receive, including when it is at odds with the pharmacist’s view.</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4</w:t>
            </w:r>
            <w:r w:rsidRPr="00F559B5">
              <w:rPr>
                <w:rFonts w:ascii="Arial" w:hAnsi="Arial" w:cs="Arial"/>
                <w:sz w:val="18"/>
                <w:szCs w:val="18"/>
              </w:rPr>
              <w:tab/>
              <w:t>Recognises and respects the values, beliefs, personal characteristics, and cultural and linguistic diversity of consumers.</w:t>
            </w:r>
            <w:r w:rsidRPr="00F559B5">
              <w:rPr>
                <w:rFonts w:ascii="Arial" w:hAnsi="Arial" w:cs="Arial"/>
                <w:strike/>
                <w:sz w:val="18"/>
                <w:szCs w:val="18"/>
              </w:rPr>
              <w:t xml:space="preserve"> </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discuss how the different values, beliefs and cultural backgrounds of consumers may influence the way in which professional services are provided.</w:t>
            </w:r>
          </w:p>
          <w:p w:rsidR="00E10391" w:rsidRPr="00F559B5" w:rsidRDefault="00E10391" w:rsidP="00E10391">
            <w:pPr>
              <w:numPr>
                <w:ilvl w:val="0"/>
                <w:numId w:val="24"/>
              </w:numPr>
              <w:spacing w:before="40" w:after="40"/>
              <w:ind w:left="284"/>
              <w:rPr>
                <w:rFonts w:ascii="Arial" w:hAnsi="Arial" w:cs="Arial"/>
                <w:sz w:val="18"/>
                <w:szCs w:val="18"/>
                <w:u w:val="single"/>
              </w:rPr>
            </w:pPr>
            <w:r w:rsidRPr="00F559B5">
              <w:rPr>
                <w:rFonts w:ascii="Arial" w:hAnsi="Arial" w:cs="Arial"/>
                <w:sz w:val="18"/>
                <w:szCs w:val="18"/>
              </w:rPr>
              <w:t xml:space="preserve">Ability to describe ways in which flexibility in service delivery may be provided to, as far as practicable, accommodate the values, beliefs and cultural backgrounds of consumers. </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u w:val="single"/>
              </w:rPr>
            </w:pPr>
            <w:r w:rsidRPr="00F559B5">
              <w:rPr>
                <w:rFonts w:ascii="Arial" w:hAnsi="Arial" w:cs="Arial"/>
                <w:sz w:val="18"/>
                <w:szCs w:val="18"/>
              </w:rPr>
              <w:t>5</w:t>
            </w:r>
            <w:r w:rsidRPr="00F559B5">
              <w:rPr>
                <w:rFonts w:ascii="Arial" w:hAnsi="Arial" w:cs="Arial"/>
                <w:sz w:val="18"/>
                <w:szCs w:val="18"/>
              </w:rPr>
              <w:tab/>
              <w:t>Understands the impact on practice of a culturally diverse consumer population.</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discuss areas of care likely to be impacted by a culturally diverse consumer population (e.g. illness behaviour, preferred treatment modalities, attitudes to dress and gender of health professionals, role of the family in care).</w:t>
            </w:r>
          </w:p>
          <w:p w:rsidR="00E10391" w:rsidRPr="00F559B5" w:rsidRDefault="00E10391" w:rsidP="00E10391">
            <w:pPr>
              <w:numPr>
                <w:ilvl w:val="0"/>
                <w:numId w:val="24"/>
              </w:numPr>
              <w:spacing w:before="40" w:after="40"/>
              <w:ind w:left="284"/>
              <w:rPr>
                <w:rFonts w:ascii="Arial" w:hAnsi="Arial" w:cs="Arial"/>
                <w:sz w:val="18"/>
                <w:szCs w:val="18"/>
                <w:u w:val="single"/>
              </w:rPr>
            </w:pPr>
            <w:r w:rsidRPr="00F559B5">
              <w:rPr>
                <w:rFonts w:ascii="Arial" w:hAnsi="Arial" w:cs="Arial"/>
                <w:sz w:val="18"/>
                <w:szCs w:val="18"/>
              </w:rPr>
              <w:t>Ability to discuss ways in which the pharmacist’s cultural and linguistic background influences the assumptions made about consumer needs and the delivery of services and advice.</w:t>
            </w:r>
          </w:p>
        </w:tc>
      </w:tr>
      <w:tr w:rsidR="00E10391" w:rsidRPr="00F559B5" w:rsidTr="00A66271">
        <w:trPr>
          <w:cantSplit/>
        </w:trPr>
        <w:tc>
          <w:tcPr>
            <w:tcW w:w="9923" w:type="dxa"/>
            <w:gridSpan w:val="2"/>
            <w:shd w:val="clear" w:color="auto" w:fill="FABF8F" w:themeFill="accent6" w:themeFillTint="99"/>
          </w:tcPr>
          <w:p w:rsidR="00E10391" w:rsidRPr="00F559B5" w:rsidRDefault="00E10391" w:rsidP="00A66271">
            <w:pPr>
              <w:spacing w:before="40" w:after="40"/>
              <w:rPr>
                <w:rFonts w:ascii="Arial" w:hAnsi="Arial" w:cs="Arial"/>
                <w:sz w:val="18"/>
                <w:szCs w:val="18"/>
              </w:rPr>
            </w:pPr>
            <w:r w:rsidRPr="00F559B5">
              <w:rPr>
                <w:rFonts w:ascii="Arial" w:hAnsi="Arial" w:cs="Arial"/>
                <w:b/>
                <w:sz w:val="18"/>
                <w:szCs w:val="18"/>
              </w:rPr>
              <w:t xml:space="preserve">Element 2 – Address consumer needs </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1</w:t>
            </w:r>
            <w:r w:rsidRPr="00F559B5">
              <w:rPr>
                <w:rFonts w:ascii="Arial" w:hAnsi="Arial" w:cs="Arial"/>
                <w:sz w:val="18"/>
                <w:szCs w:val="18"/>
              </w:rPr>
              <w:tab/>
              <w:t>Adopts a respectful and empathic attitude to consumers.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show respect, dignity and consideration for consumers.</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maintain composure, to communicate and behave in a respectful manner, even during difficult situations.</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2</w:t>
            </w:r>
            <w:r w:rsidRPr="00F559B5">
              <w:rPr>
                <w:rFonts w:ascii="Arial" w:hAnsi="Arial" w:cs="Arial"/>
                <w:sz w:val="18"/>
                <w:szCs w:val="18"/>
              </w:rPr>
              <w:tab/>
              <w:t>Partners with consumers in the delivery of professional services.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describe the means by which consumers are able to participate in </w:t>
            </w:r>
            <w:r>
              <w:rPr>
                <w:rFonts w:ascii="Arial" w:hAnsi="Arial" w:cs="Arial"/>
                <w:sz w:val="18"/>
                <w:szCs w:val="18"/>
              </w:rPr>
              <w:t>the</w:t>
            </w:r>
            <w:r w:rsidRPr="00F559B5">
              <w:rPr>
                <w:rFonts w:ascii="Arial" w:hAnsi="Arial" w:cs="Arial"/>
                <w:sz w:val="18"/>
                <w:szCs w:val="18"/>
              </w:rPr>
              <w:t xml:space="preserve"> planning and delivery</w:t>
            </w:r>
            <w:r>
              <w:rPr>
                <w:rFonts w:ascii="Arial" w:hAnsi="Arial" w:cs="Arial"/>
                <w:sz w:val="18"/>
                <w:szCs w:val="18"/>
              </w:rPr>
              <w:t xml:space="preserve"> of complex compounding services</w:t>
            </w:r>
            <w:r w:rsidRPr="00F559B5">
              <w:rPr>
                <w:rFonts w:ascii="Arial" w:hAnsi="Arial" w:cs="Arial"/>
                <w:sz w:val="18"/>
                <w:szCs w:val="18"/>
              </w:rPr>
              <w:t>.</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engage the consumer as an active participant in the delivery of </w:t>
            </w:r>
            <w:r>
              <w:rPr>
                <w:rFonts w:ascii="Arial" w:hAnsi="Arial" w:cs="Arial"/>
                <w:sz w:val="18"/>
                <w:szCs w:val="18"/>
              </w:rPr>
              <w:t>complex compounding</w:t>
            </w:r>
            <w:r w:rsidRPr="00F559B5">
              <w:rPr>
                <w:rFonts w:ascii="Arial" w:hAnsi="Arial" w:cs="Arial"/>
                <w:sz w:val="18"/>
                <w:szCs w:val="18"/>
              </w:rPr>
              <w:t xml:space="preserve"> services.</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3</w:t>
            </w:r>
            <w:r w:rsidRPr="00F559B5">
              <w:rPr>
                <w:rFonts w:ascii="Arial" w:hAnsi="Arial" w:cs="Arial"/>
                <w:sz w:val="18"/>
                <w:szCs w:val="18"/>
              </w:rPr>
              <w:tab/>
              <w:t>Adapts service delivery, as far as practicable, to satisfy the needs of consumers.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hanging="284"/>
              <w:rPr>
                <w:rFonts w:ascii="Arial" w:hAnsi="Arial" w:cs="Arial"/>
                <w:strike/>
                <w:sz w:val="18"/>
                <w:szCs w:val="18"/>
              </w:rPr>
            </w:pPr>
            <w:r w:rsidRPr="00F559B5">
              <w:rPr>
                <w:rFonts w:ascii="Arial" w:hAnsi="Arial" w:cs="Arial"/>
                <w:sz w:val="18"/>
                <w:szCs w:val="18"/>
              </w:rPr>
              <w:t xml:space="preserve">Ability to anticipate and/or recognise consumer need within the limits of their </w:t>
            </w:r>
            <w:r>
              <w:rPr>
                <w:rFonts w:ascii="Arial" w:hAnsi="Arial" w:cs="Arial"/>
                <w:sz w:val="18"/>
                <w:szCs w:val="18"/>
              </w:rPr>
              <w:t xml:space="preserve">expertise and </w:t>
            </w:r>
            <w:r w:rsidRPr="00F559B5">
              <w:rPr>
                <w:rFonts w:ascii="Arial" w:hAnsi="Arial" w:cs="Arial"/>
                <w:sz w:val="18"/>
                <w:szCs w:val="18"/>
              </w:rPr>
              <w:t>experience.</w:t>
            </w:r>
          </w:p>
          <w:p w:rsidR="00E10391" w:rsidRPr="00F559B5" w:rsidRDefault="00E10391" w:rsidP="00E10391">
            <w:pPr>
              <w:numPr>
                <w:ilvl w:val="0"/>
                <w:numId w:val="24"/>
              </w:numPr>
              <w:spacing w:before="40" w:after="40"/>
              <w:ind w:left="284" w:hanging="284"/>
              <w:rPr>
                <w:rFonts w:ascii="Arial" w:hAnsi="Arial" w:cs="Arial"/>
                <w:strike/>
                <w:sz w:val="18"/>
                <w:szCs w:val="18"/>
              </w:rPr>
            </w:pPr>
            <w:r w:rsidRPr="00F559B5">
              <w:rPr>
                <w:rFonts w:ascii="Arial" w:hAnsi="Arial" w:cs="Arial"/>
                <w:sz w:val="18"/>
                <w:szCs w:val="18"/>
              </w:rPr>
              <w:t xml:space="preserve">Ability to describe circumstances where </w:t>
            </w:r>
            <w:r>
              <w:rPr>
                <w:rFonts w:ascii="Arial" w:hAnsi="Arial" w:cs="Arial"/>
                <w:sz w:val="18"/>
                <w:szCs w:val="18"/>
              </w:rPr>
              <w:t xml:space="preserve">complex compounding </w:t>
            </w:r>
            <w:r w:rsidRPr="00F559B5">
              <w:rPr>
                <w:rFonts w:ascii="Arial" w:hAnsi="Arial" w:cs="Arial"/>
                <w:sz w:val="18"/>
                <w:szCs w:val="18"/>
              </w:rPr>
              <w:t>service delivery may need to be adapted because of the health status or disability of a consumer.</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elicit information relating to values, beliefs and cultural backgrounds of consumers that may influence the way in which professional services are provided.</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4</w:t>
            </w:r>
            <w:r w:rsidRPr="00F559B5">
              <w:rPr>
                <w:rFonts w:ascii="Arial" w:hAnsi="Arial" w:cs="Arial"/>
                <w:sz w:val="18"/>
                <w:szCs w:val="18"/>
              </w:rPr>
              <w:tab/>
              <w:t>Encourages consumers to seek and use information relevant to their health needs.</w:t>
            </w:r>
          </w:p>
        </w:tc>
        <w:tc>
          <w:tcPr>
            <w:tcW w:w="6237" w:type="dxa"/>
            <w:shd w:val="clear" w:color="auto" w:fill="DBE5F1" w:themeFill="accent1" w:themeFillTint="33"/>
          </w:tcPr>
          <w:p w:rsidR="00E10391"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support consumers to make therapeutic and lifestyle decisions </w:t>
            </w:r>
            <w:r>
              <w:rPr>
                <w:rFonts w:ascii="Arial" w:hAnsi="Arial" w:cs="Arial"/>
                <w:sz w:val="18"/>
                <w:szCs w:val="18"/>
              </w:rPr>
              <w:t xml:space="preserve">in relation to the use of complex compounded products </w:t>
            </w:r>
            <w:r w:rsidRPr="00F559B5">
              <w:rPr>
                <w:rFonts w:ascii="Arial" w:hAnsi="Arial" w:cs="Arial"/>
                <w:sz w:val="18"/>
                <w:szCs w:val="18"/>
              </w:rPr>
              <w:t>that are consistent with achieving good or improved health.</w:t>
            </w:r>
          </w:p>
          <w:p w:rsidR="00E10391" w:rsidRPr="00F559B5" w:rsidRDefault="00E10391" w:rsidP="00E10391">
            <w:pPr>
              <w:numPr>
                <w:ilvl w:val="0"/>
                <w:numId w:val="24"/>
              </w:numPr>
              <w:spacing w:before="40" w:after="40"/>
              <w:ind w:left="284"/>
              <w:rPr>
                <w:rFonts w:ascii="Arial" w:hAnsi="Arial" w:cs="Arial"/>
                <w:sz w:val="18"/>
                <w:szCs w:val="18"/>
              </w:rPr>
            </w:pPr>
            <w:r>
              <w:rPr>
                <w:rFonts w:ascii="Arial" w:hAnsi="Arial" w:cs="Arial"/>
                <w:sz w:val="18"/>
                <w:szCs w:val="18"/>
              </w:rPr>
              <w:t>Ability to describe the information sources through which consumers are informed about the complex compounding service and products provided (e.g. information sheets, cautionary and advisory labels and, where available, CMI).</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5</w:t>
            </w:r>
            <w:r w:rsidRPr="00F559B5">
              <w:rPr>
                <w:rFonts w:ascii="Arial" w:hAnsi="Arial" w:cs="Arial"/>
                <w:sz w:val="18"/>
                <w:szCs w:val="18"/>
              </w:rPr>
              <w:tab/>
              <w:t>Responds to consumer comment and feedback about the services and advice provided.</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issues upon which consumer feedback may be used to improve service delivery.</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receive and respond to consumer complaint or comment about the services and/or advice received.</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6</w:t>
            </w:r>
            <w:r w:rsidRPr="00F559B5">
              <w:rPr>
                <w:rFonts w:ascii="Arial" w:hAnsi="Arial" w:cs="Arial"/>
                <w:sz w:val="18"/>
                <w:szCs w:val="18"/>
              </w:rPr>
              <w:tab/>
              <w:t>Accepts responsibility for advocating on behalf of consumers consistent with the professional role and expertise of a pharmacist.</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describe areas where the rights or needs of consumers might be presented and/or supported with other health professionals and/or public authorities (e.g. advocacy on behalf of a consumer group for access to specific </w:t>
            </w:r>
            <w:r>
              <w:rPr>
                <w:rFonts w:ascii="Arial" w:hAnsi="Arial" w:cs="Arial"/>
                <w:sz w:val="18"/>
                <w:szCs w:val="18"/>
              </w:rPr>
              <w:t xml:space="preserve">compounded </w:t>
            </w:r>
            <w:r w:rsidRPr="00F559B5">
              <w:rPr>
                <w:rFonts w:ascii="Arial" w:hAnsi="Arial" w:cs="Arial"/>
                <w:sz w:val="18"/>
                <w:szCs w:val="18"/>
              </w:rPr>
              <w:t>products).</w:t>
            </w:r>
          </w:p>
        </w:tc>
      </w:tr>
    </w:tbl>
    <w:p w:rsidR="00E10391" w:rsidRPr="00F559B5" w:rsidRDefault="00E10391" w:rsidP="00E10391">
      <w:pPr>
        <w:rPr>
          <w:rFonts w:ascii="Arial" w:hAnsi="Arial" w:cs="Arial"/>
          <w:sz w:val="18"/>
          <w:szCs w:val="18"/>
        </w:rPr>
      </w:pPr>
    </w:p>
    <w:p w:rsidR="00E10391" w:rsidRDefault="00E10391" w:rsidP="00E10391">
      <w:pPr>
        <w:spacing w:line="276" w:lineRule="auto"/>
        <w:rPr>
          <w:b/>
          <w:snapToGrid w:val="0"/>
          <w:color w:val="FF0000"/>
          <w:sz w:val="22"/>
          <w:szCs w:val="22"/>
        </w:rPr>
      </w:pPr>
      <w:r>
        <w:rPr>
          <w:color w:val="FF0000"/>
        </w:rPr>
        <w:br w:type="page"/>
      </w:r>
    </w:p>
    <w:p w:rsidR="00E10391" w:rsidRPr="00D80945" w:rsidRDefault="00E10391" w:rsidP="00E10391">
      <w:pPr>
        <w:pStyle w:val="Heading3"/>
        <w:rPr>
          <w:rFonts w:ascii="Arial" w:hAnsi="Arial" w:cs="Arial"/>
        </w:rPr>
      </w:pPr>
      <w:bookmarkStart w:id="10" w:name="_Toc377638232"/>
      <w:r w:rsidRPr="00D80945">
        <w:rPr>
          <w:rFonts w:ascii="Arial" w:hAnsi="Arial" w:cs="Arial"/>
          <w:color w:val="FF0000"/>
        </w:rPr>
        <w:lastRenderedPageBreak/>
        <w:t>Standard 1.4</w:t>
      </w:r>
      <w:r w:rsidRPr="00D80945">
        <w:rPr>
          <w:rFonts w:ascii="Arial" w:hAnsi="Arial" w:cs="Arial"/>
        </w:rPr>
        <w:t xml:space="preserve"> Manage quality and safety</w:t>
      </w:r>
      <w:bookmarkEnd w:id="10"/>
      <w:r w:rsidRPr="00D80945">
        <w:rPr>
          <w:rFonts w:ascii="Arial" w:hAnsi="Arial" w:cs="Arial"/>
        </w:rPr>
        <w:t xml:space="preserve">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237"/>
      </w:tblGrid>
      <w:tr w:rsidR="00E10391" w:rsidRPr="00F559B5" w:rsidTr="00A66271">
        <w:trPr>
          <w:cantSplit/>
          <w:tblHeader/>
        </w:trPr>
        <w:tc>
          <w:tcPr>
            <w:tcW w:w="9923" w:type="dxa"/>
            <w:gridSpan w:val="2"/>
            <w:tcBorders>
              <w:top w:val="nil"/>
              <w:left w:val="nil"/>
              <w:right w:val="nil"/>
            </w:tcBorders>
          </w:tcPr>
          <w:p w:rsidR="00E10391" w:rsidRPr="00F559B5" w:rsidRDefault="00E10391" w:rsidP="00A66271">
            <w:pPr>
              <w:spacing w:before="40" w:after="40"/>
              <w:ind w:left="284" w:hanging="284"/>
              <w:rPr>
                <w:rFonts w:ascii="Arial" w:hAnsi="Arial" w:cs="Arial"/>
                <w:b/>
                <w:i/>
                <w:sz w:val="18"/>
                <w:szCs w:val="18"/>
              </w:rPr>
            </w:pPr>
          </w:p>
        </w:tc>
      </w:tr>
      <w:tr w:rsidR="00E10391" w:rsidRPr="00F559B5" w:rsidTr="00A66271">
        <w:trPr>
          <w:cantSplit/>
          <w:tblHeader/>
        </w:trPr>
        <w:tc>
          <w:tcPr>
            <w:tcW w:w="3686" w:type="dxa"/>
            <w:tcBorders>
              <w:bottom w:val="single" w:sz="4" w:space="0" w:color="auto"/>
            </w:tcBorders>
            <w:shd w:val="clear" w:color="auto" w:fill="548DD4" w:themeFill="text2" w:themeFillTint="99"/>
          </w:tcPr>
          <w:p w:rsidR="00E10391" w:rsidRPr="00F559B5" w:rsidRDefault="00E10391" w:rsidP="00186360">
            <w:pPr>
              <w:spacing w:before="40" w:after="40"/>
              <w:ind w:left="567" w:hanging="567"/>
              <w:rPr>
                <w:rFonts w:ascii="Arial" w:hAnsi="Arial" w:cs="Arial"/>
                <w:b/>
                <w:sz w:val="18"/>
                <w:szCs w:val="18"/>
              </w:rPr>
            </w:pPr>
            <w:r w:rsidRPr="00F559B5">
              <w:rPr>
                <w:rFonts w:ascii="Arial" w:hAnsi="Arial" w:cs="Arial"/>
                <w:b/>
                <w:sz w:val="18"/>
                <w:szCs w:val="18"/>
              </w:rPr>
              <w:t xml:space="preserve">Performance </w:t>
            </w:r>
            <w:r w:rsidR="00186360">
              <w:rPr>
                <w:rFonts w:ascii="Arial" w:hAnsi="Arial" w:cs="Arial"/>
                <w:b/>
                <w:sz w:val="18"/>
                <w:szCs w:val="18"/>
              </w:rPr>
              <w:t>c</w:t>
            </w:r>
            <w:r w:rsidRPr="00F559B5">
              <w:rPr>
                <w:rFonts w:ascii="Arial" w:hAnsi="Arial" w:cs="Arial"/>
                <w:b/>
                <w:sz w:val="18"/>
                <w:szCs w:val="18"/>
              </w:rPr>
              <w:t>riteria</w:t>
            </w:r>
          </w:p>
        </w:tc>
        <w:tc>
          <w:tcPr>
            <w:tcW w:w="6237" w:type="dxa"/>
            <w:tcBorders>
              <w:bottom w:val="single" w:sz="4" w:space="0" w:color="auto"/>
            </w:tcBorders>
            <w:shd w:val="clear" w:color="auto" w:fill="548DD4" w:themeFill="text2" w:themeFillTint="99"/>
          </w:tcPr>
          <w:p w:rsidR="00E10391" w:rsidRPr="00F559B5" w:rsidRDefault="00E10391" w:rsidP="00186360">
            <w:pPr>
              <w:spacing w:before="40" w:after="40"/>
              <w:ind w:left="284" w:hanging="284"/>
              <w:rPr>
                <w:rFonts w:ascii="Arial" w:hAnsi="Arial" w:cs="Arial"/>
                <w:b/>
                <w:sz w:val="18"/>
                <w:szCs w:val="18"/>
              </w:rPr>
            </w:pPr>
            <w:r w:rsidRPr="00F559B5">
              <w:rPr>
                <w:rFonts w:ascii="Arial" w:hAnsi="Arial" w:cs="Arial"/>
                <w:b/>
                <w:sz w:val="18"/>
                <w:szCs w:val="18"/>
              </w:rPr>
              <w:t xml:space="preserve">Evidence </w:t>
            </w:r>
            <w:r w:rsidR="00186360">
              <w:rPr>
                <w:rFonts w:ascii="Arial" w:hAnsi="Arial" w:cs="Arial"/>
                <w:b/>
                <w:sz w:val="18"/>
                <w:szCs w:val="18"/>
              </w:rPr>
              <w:t>e</w:t>
            </w:r>
            <w:r w:rsidRPr="00F559B5">
              <w:rPr>
                <w:rFonts w:ascii="Arial" w:hAnsi="Arial" w:cs="Arial"/>
                <w:b/>
                <w:sz w:val="18"/>
                <w:szCs w:val="18"/>
              </w:rPr>
              <w:t>xamples</w:t>
            </w:r>
          </w:p>
        </w:tc>
      </w:tr>
      <w:tr w:rsidR="00E10391" w:rsidRPr="00F559B5" w:rsidTr="00A66271">
        <w:trPr>
          <w:cantSplit/>
        </w:trPr>
        <w:tc>
          <w:tcPr>
            <w:tcW w:w="9923" w:type="dxa"/>
            <w:gridSpan w:val="2"/>
            <w:tcBorders>
              <w:bottom w:val="single" w:sz="4" w:space="0" w:color="auto"/>
            </w:tcBorders>
            <w:shd w:val="clear" w:color="auto" w:fill="FABF8F" w:themeFill="accent6" w:themeFillTint="99"/>
          </w:tcPr>
          <w:p w:rsidR="00E10391" w:rsidRPr="00F559B5" w:rsidRDefault="00E10391" w:rsidP="00A66271">
            <w:pPr>
              <w:spacing w:before="40" w:after="40"/>
              <w:ind w:left="284" w:hanging="284"/>
              <w:rPr>
                <w:rFonts w:ascii="Arial" w:hAnsi="Arial" w:cs="Arial"/>
                <w:b/>
                <w:sz w:val="18"/>
                <w:szCs w:val="18"/>
              </w:rPr>
            </w:pPr>
            <w:r w:rsidRPr="00F559B5">
              <w:rPr>
                <w:rFonts w:ascii="Arial" w:hAnsi="Arial" w:cs="Arial"/>
                <w:b/>
                <w:sz w:val="18"/>
                <w:szCs w:val="18"/>
              </w:rPr>
              <w:t>Element 1 – Protect and enhance consumer safety</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1</w:t>
            </w:r>
            <w:r w:rsidRPr="00F559B5">
              <w:rPr>
                <w:rFonts w:ascii="Arial" w:hAnsi="Arial" w:cs="Arial"/>
                <w:sz w:val="18"/>
                <w:szCs w:val="18"/>
              </w:rPr>
              <w:tab/>
              <w:t>Understands the concept of a continuum of care.</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discuss the risks to consumer safety posed by care that extends between care settings (e.g. hospital to community, hospital to hospital) and/or is delivered by multiple health care providers (GP to </w:t>
            </w:r>
            <w:r w:rsidR="0089492D">
              <w:rPr>
                <w:rFonts w:ascii="Arial" w:hAnsi="Arial" w:cs="Arial"/>
                <w:sz w:val="18"/>
                <w:szCs w:val="18"/>
              </w:rPr>
              <w:t>s</w:t>
            </w:r>
            <w:r w:rsidRPr="00F559B5">
              <w:rPr>
                <w:rFonts w:ascii="Arial" w:hAnsi="Arial" w:cs="Arial"/>
                <w:sz w:val="18"/>
                <w:szCs w:val="18"/>
              </w:rPr>
              <w:t>pecialist, GP to pharmacist).</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discuss ways in which continuum of care </w:t>
            </w:r>
            <w:r>
              <w:rPr>
                <w:rFonts w:ascii="Arial" w:hAnsi="Arial" w:cs="Arial"/>
                <w:sz w:val="18"/>
                <w:szCs w:val="18"/>
              </w:rPr>
              <w:t xml:space="preserve">with complex compounded products </w:t>
            </w:r>
            <w:r w:rsidRPr="00F559B5">
              <w:rPr>
                <w:rFonts w:ascii="Arial" w:hAnsi="Arial" w:cs="Arial"/>
                <w:sz w:val="18"/>
                <w:szCs w:val="18"/>
              </w:rPr>
              <w:t xml:space="preserve">can be enhanced. </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2</w:t>
            </w:r>
            <w:r w:rsidRPr="00F559B5">
              <w:rPr>
                <w:rFonts w:ascii="Arial" w:hAnsi="Arial" w:cs="Arial"/>
                <w:sz w:val="18"/>
                <w:szCs w:val="18"/>
              </w:rPr>
              <w:tab/>
              <w:t>Understands the potential sources of error in professional service delivery and their likely consequences.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describe factors which increase the likelihood of error and/or misadventure </w:t>
            </w:r>
            <w:r>
              <w:rPr>
                <w:rFonts w:ascii="Arial" w:hAnsi="Arial" w:cs="Arial"/>
                <w:sz w:val="18"/>
                <w:szCs w:val="18"/>
              </w:rPr>
              <w:t xml:space="preserve">with complex compounding </w:t>
            </w:r>
            <w:r w:rsidRPr="00F559B5">
              <w:rPr>
                <w:rFonts w:ascii="Arial" w:hAnsi="Arial" w:cs="Arial"/>
                <w:sz w:val="18"/>
                <w:szCs w:val="18"/>
              </w:rPr>
              <w:t>(e.g. interruptions, excessive workload, inadequate supervision, working beyond limits of expertise, personal impairment, transfer of care).</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discuss ways in which risk factors can be identified and managed.</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3</w:t>
            </w:r>
            <w:r w:rsidRPr="00F559B5">
              <w:rPr>
                <w:rFonts w:ascii="Arial" w:hAnsi="Arial" w:cs="Arial"/>
                <w:sz w:val="18"/>
                <w:szCs w:val="18"/>
              </w:rPr>
              <w:tab/>
              <w:t>Ensures appropriate professional services documentation is completed for identifying and managing risks to consumers.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documentation that should be completed to protect consumer safety.</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maintain relevant, accurate and up-to-date records.</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4</w:t>
            </w:r>
            <w:r w:rsidRPr="00F559B5">
              <w:rPr>
                <w:rFonts w:ascii="Arial" w:hAnsi="Arial" w:cs="Arial"/>
                <w:sz w:val="18"/>
                <w:szCs w:val="18"/>
              </w:rPr>
              <w:tab/>
              <w:t>Recognises the importance of maintaining a ‘no blame’ culture in the workplace.</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discuss the impact of a ‘no blame’ culture on reporting and preventing recurrence of incidents.</w:t>
            </w:r>
          </w:p>
        </w:tc>
      </w:tr>
      <w:tr w:rsidR="00E10391" w:rsidRPr="00F559B5" w:rsidTr="00A66271">
        <w:trPr>
          <w:cantSplit/>
        </w:trPr>
        <w:tc>
          <w:tcPr>
            <w:tcW w:w="9923" w:type="dxa"/>
            <w:gridSpan w:val="2"/>
            <w:shd w:val="clear" w:color="auto" w:fill="FABF8F" w:themeFill="accent6" w:themeFillTint="99"/>
          </w:tcPr>
          <w:p w:rsidR="00E10391" w:rsidRPr="00F559B5" w:rsidRDefault="00E10391" w:rsidP="00A66271">
            <w:pPr>
              <w:spacing w:before="40" w:after="40"/>
              <w:ind w:left="284" w:hanging="284"/>
              <w:rPr>
                <w:rFonts w:ascii="Arial" w:hAnsi="Arial" w:cs="Arial"/>
                <w:sz w:val="18"/>
                <w:szCs w:val="18"/>
              </w:rPr>
            </w:pPr>
            <w:r w:rsidRPr="00F559B5">
              <w:rPr>
                <w:rFonts w:ascii="Arial" w:hAnsi="Arial" w:cs="Arial"/>
                <w:b/>
                <w:sz w:val="18"/>
                <w:szCs w:val="18"/>
              </w:rPr>
              <w:t>Element 2 – Respond to identified risk</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pStyle w:val="Header"/>
              <w:spacing w:before="40" w:after="40"/>
              <w:ind w:left="397" w:hanging="397"/>
              <w:rPr>
                <w:rFonts w:ascii="Arial" w:hAnsi="Arial" w:cs="Arial"/>
                <w:sz w:val="18"/>
                <w:szCs w:val="18"/>
              </w:rPr>
            </w:pPr>
            <w:r w:rsidRPr="00F559B5">
              <w:rPr>
                <w:rFonts w:ascii="Arial" w:hAnsi="Arial" w:cs="Arial"/>
                <w:sz w:val="18"/>
                <w:szCs w:val="18"/>
              </w:rPr>
              <w:t>1</w:t>
            </w:r>
            <w:r w:rsidRPr="00F559B5">
              <w:rPr>
                <w:rFonts w:ascii="Arial" w:hAnsi="Arial" w:cs="Arial"/>
                <w:sz w:val="18"/>
                <w:szCs w:val="18"/>
              </w:rPr>
              <w:tab/>
              <w:t>Participates in prompt withdrawal of stock or equipment that is subject to a product recall notice.</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and/or demonstrate recall procedures to be used in response to a product recall notice or to access the information promptly.</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2</w:t>
            </w:r>
            <w:r w:rsidRPr="00F559B5">
              <w:rPr>
                <w:rFonts w:ascii="Arial" w:hAnsi="Arial" w:cs="Arial"/>
                <w:sz w:val="18"/>
                <w:szCs w:val="18"/>
              </w:rPr>
              <w:tab/>
              <w:t>Accepts responsibility for reporting and following up medication incidents.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explain the importance of reporting and following up medication incidents</w:t>
            </w:r>
            <w:r>
              <w:rPr>
                <w:rFonts w:ascii="Arial" w:hAnsi="Arial" w:cs="Arial"/>
                <w:sz w:val="18"/>
                <w:szCs w:val="18"/>
              </w:rPr>
              <w:t xml:space="preserve"> with complex compounded products</w:t>
            </w:r>
            <w:r w:rsidRPr="00F559B5">
              <w:rPr>
                <w:rFonts w:ascii="Arial" w:hAnsi="Arial" w:cs="Arial"/>
                <w:sz w:val="18"/>
                <w:szCs w:val="18"/>
              </w:rPr>
              <w:t>.</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the reporting and follow-up processes in use.</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3</w:t>
            </w:r>
            <w:r w:rsidRPr="00F559B5">
              <w:rPr>
                <w:rFonts w:ascii="Arial" w:hAnsi="Arial" w:cs="Arial"/>
                <w:sz w:val="18"/>
                <w:szCs w:val="18"/>
              </w:rPr>
              <w:tab/>
              <w:t>Accepts responsibility for identifying and responding to personal circumstances that could impair professional performance.</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personal factors that could impair performance.</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sources of support where impaired performance is suspected or confirmed.</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4</w:t>
            </w:r>
            <w:r w:rsidRPr="00F559B5">
              <w:rPr>
                <w:rFonts w:ascii="Arial" w:hAnsi="Arial" w:cs="Arial"/>
                <w:sz w:val="18"/>
                <w:szCs w:val="18"/>
              </w:rPr>
              <w:tab/>
              <w:t>Acts promptly in the event of a medication incident to minimise harm and/or prevent recurrence.</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describe the course(s) of action available to minimise harm.</w:t>
            </w:r>
          </w:p>
          <w:p w:rsidR="00E10391"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identify follow-up strategies likely to be effective in preventing recurrence (e.g. root cause analysis).</w:t>
            </w:r>
          </w:p>
          <w:p w:rsidR="00E10391" w:rsidRPr="00F559B5" w:rsidRDefault="00E10391" w:rsidP="00E10391">
            <w:pPr>
              <w:numPr>
                <w:ilvl w:val="0"/>
                <w:numId w:val="24"/>
              </w:numPr>
              <w:spacing w:before="40" w:after="40"/>
              <w:ind w:left="284"/>
              <w:rPr>
                <w:rFonts w:ascii="Arial" w:hAnsi="Arial" w:cs="Arial"/>
                <w:sz w:val="18"/>
                <w:szCs w:val="18"/>
              </w:rPr>
            </w:pPr>
            <w:r>
              <w:rPr>
                <w:rFonts w:ascii="Arial" w:hAnsi="Arial" w:cs="Arial"/>
                <w:sz w:val="18"/>
                <w:szCs w:val="18"/>
              </w:rPr>
              <w:t>Ability to describe changes made to policies, procedures and/or the workplace to prevent recurrence of incidents related to complex compounded products.</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5</w:t>
            </w:r>
            <w:r w:rsidRPr="00F559B5">
              <w:rPr>
                <w:rFonts w:ascii="Arial" w:hAnsi="Arial" w:cs="Arial"/>
                <w:sz w:val="18"/>
                <w:szCs w:val="18"/>
              </w:rPr>
              <w:tab/>
              <w:t>Understands the responsibility to inform consumers of medication incidents likely to impact on their health or wellbeing.</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describe the principles of open disclosure as they apply to health care incidents.</w:t>
            </w:r>
          </w:p>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discuss the requirements for open disclosure and how these relate to the expectations of professional indemnity insurance providers.</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6</w:t>
            </w:r>
            <w:r w:rsidRPr="00F559B5">
              <w:rPr>
                <w:rFonts w:ascii="Arial" w:hAnsi="Arial" w:cs="Arial"/>
                <w:sz w:val="18"/>
                <w:szCs w:val="18"/>
              </w:rPr>
              <w:tab/>
              <w:t>Documents medication incidents including actions taken to minimise the impact on consumers and/or prevent recurrence.</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describe and/or use an appropriate recording system</w:t>
            </w:r>
            <w:r>
              <w:rPr>
                <w:rFonts w:ascii="Arial" w:hAnsi="Arial" w:cs="Arial"/>
                <w:sz w:val="18"/>
                <w:szCs w:val="18"/>
              </w:rPr>
              <w:t xml:space="preserve"> for incidents elated to complex compounded products</w:t>
            </w:r>
            <w:r w:rsidRPr="00F559B5">
              <w:rPr>
                <w:rFonts w:ascii="Arial" w:hAnsi="Arial" w:cs="Arial"/>
                <w:sz w:val="18"/>
                <w:szCs w:val="18"/>
              </w:rPr>
              <w:t>.</w:t>
            </w:r>
          </w:p>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demonstrate compliance with workplace procedures or guidelines for documenting and responding to medication incidents.</w:t>
            </w:r>
          </w:p>
        </w:tc>
      </w:tr>
    </w:tbl>
    <w:p w:rsidR="00E10391" w:rsidRPr="00F559B5" w:rsidRDefault="00E10391" w:rsidP="00E10391">
      <w:pPr>
        <w:rPr>
          <w:rFonts w:ascii="Arial" w:hAnsi="Arial" w:cs="Arial"/>
          <w:b/>
          <w:color w:val="FF0000"/>
          <w:sz w:val="18"/>
          <w:szCs w:val="18"/>
        </w:rPr>
      </w:pPr>
    </w:p>
    <w:p w:rsidR="00E10391" w:rsidRPr="00F559B5" w:rsidRDefault="00E10391" w:rsidP="00E10391">
      <w:pPr>
        <w:rPr>
          <w:rFonts w:ascii="Arial" w:hAnsi="Arial" w:cs="Arial"/>
          <w:b/>
          <w:color w:val="FF0000"/>
          <w:sz w:val="18"/>
          <w:szCs w:val="18"/>
        </w:rPr>
      </w:pPr>
    </w:p>
    <w:p w:rsidR="00E10391" w:rsidRDefault="00E10391" w:rsidP="00E10391">
      <w:pPr>
        <w:spacing w:line="276" w:lineRule="auto"/>
        <w:rPr>
          <w:b/>
          <w:snapToGrid w:val="0"/>
          <w:color w:val="FF0000"/>
          <w:sz w:val="22"/>
          <w:szCs w:val="22"/>
        </w:rPr>
      </w:pPr>
      <w:r>
        <w:rPr>
          <w:color w:val="FF0000"/>
        </w:rPr>
        <w:br w:type="page"/>
      </w:r>
    </w:p>
    <w:p w:rsidR="00E10391" w:rsidRPr="00D80945" w:rsidRDefault="00E10391" w:rsidP="00E10391">
      <w:pPr>
        <w:pStyle w:val="Heading3"/>
        <w:rPr>
          <w:rFonts w:ascii="Arial" w:hAnsi="Arial" w:cs="Arial"/>
          <w:strike/>
        </w:rPr>
      </w:pPr>
      <w:bookmarkStart w:id="11" w:name="_Toc377638233"/>
      <w:r w:rsidRPr="00D80945">
        <w:rPr>
          <w:rFonts w:ascii="Arial" w:hAnsi="Arial" w:cs="Arial"/>
          <w:color w:val="FF0000"/>
        </w:rPr>
        <w:lastRenderedPageBreak/>
        <w:t>Standard 1.5</w:t>
      </w:r>
      <w:r w:rsidRPr="00D80945">
        <w:rPr>
          <w:rFonts w:ascii="Arial" w:hAnsi="Arial" w:cs="Arial"/>
        </w:rPr>
        <w:t xml:space="preserve"> Maintain and extend professional competence</w:t>
      </w:r>
      <w:bookmarkEnd w:id="11"/>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237"/>
      </w:tblGrid>
      <w:tr w:rsidR="00E10391" w:rsidRPr="00F559B5" w:rsidTr="00A66271">
        <w:trPr>
          <w:cantSplit/>
          <w:tblHeader/>
        </w:trPr>
        <w:tc>
          <w:tcPr>
            <w:tcW w:w="9923" w:type="dxa"/>
            <w:gridSpan w:val="2"/>
            <w:tcBorders>
              <w:top w:val="nil"/>
              <w:left w:val="nil"/>
              <w:right w:val="nil"/>
            </w:tcBorders>
          </w:tcPr>
          <w:p w:rsidR="00E10391" w:rsidRPr="00F559B5" w:rsidRDefault="00E10391" w:rsidP="00A66271">
            <w:pPr>
              <w:spacing w:before="40" w:after="40"/>
              <w:ind w:left="284" w:hanging="284"/>
              <w:rPr>
                <w:rFonts w:ascii="Arial" w:hAnsi="Arial" w:cs="Arial"/>
                <w:b/>
                <w:i/>
                <w:sz w:val="18"/>
                <w:szCs w:val="18"/>
              </w:rPr>
            </w:pPr>
          </w:p>
        </w:tc>
      </w:tr>
      <w:tr w:rsidR="00E10391" w:rsidRPr="00F559B5" w:rsidTr="00A66271">
        <w:trPr>
          <w:cantSplit/>
          <w:tblHeader/>
        </w:trPr>
        <w:tc>
          <w:tcPr>
            <w:tcW w:w="3686" w:type="dxa"/>
            <w:tcBorders>
              <w:bottom w:val="single" w:sz="4" w:space="0" w:color="auto"/>
            </w:tcBorders>
            <w:shd w:val="clear" w:color="auto" w:fill="548DD4" w:themeFill="text2" w:themeFillTint="99"/>
          </w:tcPr>
          <w:p w:rsidR="00E10391" w:rsidRPr="00F559B5" w:rsidRDefault="00E10391" w:rsidP="00186360">
            <w:pPr>
              <w:spacing w:before="40" w:after="40"/>
              <w:ind w:left="567" w:hanging="567"/>
              <w:rPr>
                <w:rFonts w:ascii="Arial" w:hAnsi="Arial" w:cs="Arial"/>
                <w:b/>
                <w:sz w:val="18"/>
                <w:szCs w:val="18"/>
              </w:rPr>
            </w:pPr>
            <w:r w:rsidRPr="00F559B5">
              <w:rPr>
                <w:rFonts w:ascii="Arial" w:hAnsi="Arial" w:cs="Arial"/>
                <w:b/>
                <w:sz w:val="18"/>
                <w:szCs w:val="18"/>
              </w:rPr>
              <w:t xml:space="preserve">Performance </w:t>
            </w:r>
            <w:r w:rsidR="00186360">
              <w:rPr>
                <w:rFonts w:ascii="Arial" w:hAnsi="Arial" w:cs="Arial"/>
                <w:b/>
                <w:sz w:val="18"/>
                <w:szCs w:val="18"/>
              </w:rPr>
              <w:t>c</w:t>
            </w:r>
            <w:r w:rsidRPr="00F559B5">
              <w:rPr>
                <w:rFonts w:ascii="Arial" w:hAnsi="Arial" w:cs="Arial"/>
                <w:b/>
                <w:sz w:val="18"/>
                <w:szCs w:val="18"/>
              </w:rPr>
              <w:t>riteria</w:t>
            </w:r>
          </w:p>
        </w:tc>
        <w:tc>
          <w:tcPr>
            <w:tcW w:w="6237" w:type="dxa"/>
            <w:tcBorders>
              <w:bottom w:val="single" w:sz="4" w:space="0" w:color="auto"/>
            </w:tcBorders>
            <w:shd w:val="clear" w:color="auto" w:fill="548DD4" w:themeFill="text2" w:themeFillTint="99"/>
          </w:tcPr>
          <w:p w:rsidR="00E10391" w:rsidRPr="00F559B5" w:rsidRDefault="00E10391" w:rsidP="00186360">
            <w:pPr>
              <w:spacing w:before="40" w:after="40"/>
              <w:ind w:left="284" w:hanging="284"/>
              <w:rPr>
                <w:rFonts w:ascii="Arial" w:hAnsi="Arial" w:cs="Arial"/>
                <w:b/>
                <w:sz w:val="18"/>
                <w:szCs w:val="18"/>
              </w:rPr>
            </w:pPr>
            <w:r w:rsidRPr="00F559B5">
              <w:rPr>
                <w:rFonts w:ascii="Arial" w:hAnsi="Arial" w:cs="Arial"/>
                <w:b/>
                <w:sz w:val="18"/>
                <w:szCs w:val="18"/>
              </w:rPr>
              <w:t xml:space="preserve">Evidence </w:t>
            </w:r>
            <w:r w:rsidR="00186360">
              <w:rPr>
                <w:rFonts w:ascii="Arial" w:hAnsi="Arial" w:cs="Arial"/>
                <w:b/>
                <w:sz w:val="18"/>
                <w:szCs w:val="18"/>
              </w:rPr>
              <w:t>e</w:t>
            </w:r>
            <w:r w:rsidRPr="00F559B5">
              <w:rPr>
                <w:rFonts w:ascii="Arial" w:hAnsi="Arial" w:cs="Arial"/>
                <w:b/>
                <w:sz w:val="18"/>
                <w:szCs w:val="18"/>
              </w:rPr>
              <w:t>xamples</w:t>
            </w:r>
          </w:p>
        </w:tc>
      </w:tr>
      <w:tr w:rsidR="00E10391" w:rsidRPr="00F559B5" w:rsidTr="00A66271">
        <w:trPr>
          <w:cantSplit/>
        </w:trPr>
        <w:tc>
          <w:tcPr>
            <w:tcW w:w="9923" w:type="dxa"/>
            <w:gridSpan w:val="2"/>
            <w:tcBorders>
              <w:bottom w:val="single" w:sz="4" w:space="0" w:color="auto"/>
            </w:tcBorders>
            <w:shd w:val="clear" w:color="auto" w:fill="FABF8F" w:themeFill="accent6" w:themeFillTint="99"/>
          </w:tcPr>
          <w:p w:rsidR="00E10391" w:rsidRPr="00F559B5" w:rsidRDefault="00E10391" w:rsidP="00A66271">
            <w:pPr>
              <w:spacing w:before="40" w:after="40"/>
              <w:ind w:left="284" w:hanging="284"/>
              <w:rPr>
                <w:rFonts w:ascii="Arial" w:hAnsi="Arial" w:cs="Arial"/>
                <w:b/>
                <w:sz w:val="18"/>
                <w:szCs w:val="18"/>
              </w:rPr>
            </w:pPr>
            <w:r w:rsidRPr="00F559B5">
              <w:rPr>
                <w:rFonts w:ascii="Arial" w:hAnsi="Arial" w:cs="Arial"/>
                <w:b/>
                <w:sz w:val="18"/>
                <w:szCs w:val="18"/>
              </w:rPr>
              <w:t>Element 1 – Accept the importance of life-long learning</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1</w:t>
            </w:r>
            <w:r w:rsidRPr="00F559B5">
              <w:rPr>
                <w:rFonts w:ascii="Arial" w:hAnsi="Arial" w:cs="Arial"/>
                <w:sz w:val="18"/>
                <w:szCs w:val="18"/>
              </w:rPr>
              <w:tab/>
              <w:t>Understands the concept of life-long learning for pharmacists.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discuss life-long learning (continuous</w:t>
            </w:r>
            <w:r w:rsidR="00A415CF">
              <w:rPr>
                <w:rFonts w:ascii="Arial" w:hAnsi="Arial" w:cs="Arial"/>
                <w:sz w:val="18"/>
                <w:szCs w:val="18"/>
              </w:rPr>
              <w:t>ly</w:t>
            </w:r>
            <w:r w:rsidRPr="00F559B5">
              <w:rPr>
                <w:rFonts w:ascii="Arial" w:hAnsi="Arial" w:cs="Arial"/>
                <w:sz w:val="18"/>
                <w:szCs w:val="18"/>
              </w:rPr>
              <w:t xml:space="preserve"> striving to gain knowledge and maintain competence) in the context of career development and the pharmacist’s professional role in delivering health care services.</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2</w:t>
            </w:r>
            <w:r w:rsidRPr="00F559B5">
              <w:rPr>
                <w:rFonts w:ascii="Arial" w:hAnsi="Arial" w:cs="Arial"/>
                <w:sz w:val="18"/>
                <w:szCs w:val="18"/>
              </w:rPr>
              <w:tab/>
              <w:t>Encourages and supports the professional development of colleagues.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maintain a positive attitude to continuous learning and professional development.</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provide </w:t>
            </w:r>
            <w:r>
              <w:rPr>
                <w:rFonts w:ascii="Arial" w:hAnsi="Arial" w:cs="Arial"/>
                <w:sz w:val="18"/>
                <w:szCs w:val="18"/>
              </w:rPr>
              <w:t xml:space="preserve">complex compounded products, </w:t>
            </w:r>
            <w:r w:rsidRPr="00F559B5">
              <w:rPr>
                <w:rFonts w:ascii="Arial" w:hAnsi="Arial" w:cs="Arial"/>
                <w:sz w:val="18"/>
                <w:szCs w:val="18"/>
              </w:rPr>
              <w:t>professional advice and guidance to others consistent with the limits of own expertise.</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3</w:t>
            </w:r>
            <w:r w:rsidRPr="00F559B5">
              <w:rPr>
                <w:rFonts w:ascii="Arial" w:hAnsi="Arial" w:cs="Arial"/>
                <w:sz w:val="18"/>
                <w:szCs w:val="18"/>
              </w:rPr>
              <w:tab/>
              <w:t>Understands the expectations of the registering authority and professional associations in relation to maintenance of competence and ongoing professional development.</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discuss the role the P</w:t>
            </w:r>
            <w:r w:rsidR="00A415CF">
              <w:rPr>
                <w:rFonts w:ascii="Arial" w:hAnsi="Arial" w:cs="Arial"/>
                <w:sz w:val="18"/>
                <w:szCs w:val="18"/>
              </w:rPr>
              <w:t xml:space="preserve">harmacy </w:t>
            </w:r>
            <w:r w:rsidRPr="00F559B5">
              <w:rPr>
                <w:rFonts w:ascii="Arial" w:hAnsi="Arial" w:cs="Arial"/>
                <w:sz w:val="18"/>
                <w:szCs w:val="18"/>
              </w:rPr>
              <w:t>B</w:t>
            </w:r>
            <w:r w:rsidR="00A415CF">
              <w:rPr>
                <w:rFonts w:ascii="Arial" w:hAnsi="Arial" w:cs="Arial"/>
                <w:sz w:val="18"/>
                <w:szCs w:val="18"/>
              </w:rPr>
              <w:t xml:space="preserve">oard of </w:t>
            </w:r>
            <w:r w:rsidRPr="00F559B5">
              <w:rPr>
                <w:rFonts w:ascii="Arial" w:hAnsi="Arial" w:cs="Arial"/>
                <w:sz w:val="18"/>
                <w:szCs w:val="18"/>
              </w:rPr>
              <w:t>A</w:t>
            </w:r>
            <w:r w:rsidR="00A415CF">
              <w:rPr>
                <w:rFonts w:ascii="Arial" w:hAnsi="Arial" w:cs="Arial"/>
                <w:sz w:val="18"/>
                <w:szCs w:val="18"/>
              </w:rPr>
              <w:t>ustralia</w:t>
            </w:r>
            <w:r w:rsidRPr="00F559B5">
              <w:rPr>
                <w:rFonts w:ascii="Arial" w:hAnsi="Arial" w:cs="Arial"/>
                <w:sz w:val="18"/>
                <w:szCs w:val="18"/>
              </w:rPr>
              <w:t xml:space="preserve"> has for protecting the public and the scope of professional development activities/opportunities provided by professional associations and other organisations.</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4</w:t>
            </w:r>
            <w:r w:rsidRPr="00F559B5">
              <w:rPr>
                <w:rFonts w:ascii="Arial" w:hAnsi="Arial" w:cs="Arial"/>
                <w:sz w:val="18"/>
                <w:szCs w:val="18"/>
              </w:rPr>
              <w:tab/>
              <w:t>Understands the importance of self-assessment, reflective learning, peer review and performance review as sources of feedback on professional capability.</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the reflective learning and peer review processes.</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participate in self-assessment processes.</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preparation process for performance review (e.g. identify goals, training needs and achievements (expected and unexpected) and identifying support needs from supervisor).</w:t>
            </w:r>
          </w:p>
        </w:tc>
      </w:tr>
      <w:tr w:rsidR="00E10391" w:rsidRPr="00F559B5" w:rsidTr="00A66271">
        <w:trPr>
          <w:cantSplit/>
        </w:trPr>
        <w:tc>
          <w:tcPr>
            <w:tcW w:w="9923" w:type="dxa"/>
            <w:gridSpan w:val="2"/>
            <w:tcBorders>
              <w:bottom w:val="single" w:sz="4" w:space="0" w:color="auto"/>
            </w:tcBorders>
            <w:shd w:val="clear" w:color="auto" w:fill="FABF8F" w:themeFill="accent6" w:themeFillTint="99"/>
          </w:tcPr>
          <w:p w:rsidR="00E10391" w:rsidRPr="00F559B5" w:rsidRDefault="00E10391" w:rsidP="00A66271">
            <w:pPr>
              <w:keepNext/>
              <w:spacing w:before="40" w:after="40"/>
              <w:ind w:left="284" w:hanging="284"/>
              <w:rPr>
                <w:rFonts w:ascii="Arial" w:hAnsi="Arial" w:cs="Arial"/>
                <w:b/>
                <w:sz w:val="18"/>
                <w:szCs w:val="18"/>
              </w:rPr>
            </w:pPr>
            <w:r w:rsidRPr="00F559B5">
              <w:rPr>
                <w:rFonts w:ascii="Arial" w:hAnsi="Arial" w:cs="Arial"/>
                <w:b/>
                <w:sz w:val="18"/>
                <w:szCs w:val="18"/>
              </w:rPr>
              <w:t>Element 2 – Undertake self-directed learning</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1</w:t>
            </w:r>
            <w:r w:rsidRPr="00F559B5">
              <w:rPr>
                <w:rFonts w:ascii="Arial" w:hAnsi="Arial" w:cs="Arial"/>
                <w:sz w:val="18"/>
                <w:szCs w:val="18"/>
              </w:rPr>
              <w:tab/>
              <w:t>Develops a professional development plan (that includes goals and strategies) to maintain and/or improve professional capability.</w:t>
            </w:r>
          </w:p>
        </w:tc>
        <w:tc>
          <w:tcPr>
            <w:tcW w:w="6237" w:type="dxa"/>
            <w:shd w:val="clear" w:color="auto" w:fill="DBE5F1" w:themeFill="accent1" w:themeFillTint="33"/>
          </w:tcPr>
          <w:p w:rsidR="00E10391"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the process for defining a competency grid relevant to a specific role and applying it to develop a personal learning plan.</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how performance feedback, reflective learning and/or peer review has influenced development plan.</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2</w:t>
            </w:r>
            <w:r w:rsidRPr="00F559B5">
              <w:rPr>
                <w:rFonts w:ascii="Arial" w:hAnsi="Arial" w:cs="Arial"/>
                <w:sz w:val="18"/>
                <w:szCs w:val="18"/>
              </w:rPr>
              <w:tab/>
              <w:t>Accepts responsibility for achieving learning and professional development goals.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explain a plan of action for addressing professional development and learning needs (for new knowledge, skills or attributes).</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identify potential sources of activities, their quality and relevance, to address identified learning and professional development needs.</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participate in a range of activities (e.g. experiential learning, academic courses, presentations, clinical audits and workshops) that address learning and professional development needs.</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3</w:t>
            </w:r>
            <w:r w:rsidRPr="00F559B5">
              <w:rPr>
                <w:rFonts w:ascii="Arial" w:hAnsi="Arial" w:cs="Arial"/>
                <w:sz w:val="18"/>
                <w:szCs w:val="18"/>
              </w:rPr>
              <w:tab/>
              <w:t>Regularly monitors learning and development achievements against the plan.</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compare learning and development achievements with established goals.</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4</w:t>
            </w:r>
            <w:r w:rsidRPr="00F559B5">
              <w:rPr>
                <w:rFonts w:ascii="Arial" w:hAnsi="Arial" w:cs="Arial"/>
                <w:sz w:val="18"/>
                <w:szCs w:val="18"/>
              </w:rPr>
              <w:tab/>
              <w:t>Applies learning to improve performance and/or extend professional practice.</w:t>
            </w:r>
          </w:p>
        </w:tc>
        <w:tc>
          <w:tcPr>
            <w:tcW w:w="6237" w:type="dxa"/>
            <w:shd w:val="clear" w:color="auto" w:fill="DBE5F1" w:themeFill="accent1" w:themeFillTint="33"/>
          </w:tcPr>
          <w:p w:rsidR="00E10391" w:rsidRPr="003654AE"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apply new knowledge and/or experiences to enhance problem-solving abilities, change professional practice or deliver new services.</w:t>
            </w:r>
          </w:p>
          <w:p w:rsidR="00E10391" w:rsidRPr="00F559B5" w:rsidRDefault="00E10391" w:rsidP="00E10391">
            <w:pPr>
              <w:numPr>
                <w:ilvl w:val="0"/>
                <w:numId w:val="24"/>
              </w:numPr>
              <w:spacing w:before="40" w:after="40"/>
              <w:ind w:left="284"/>
              <w:rPr>
                <w:rFonts w:ascii="Arial" w:hAnsi="Arial" w:cs="Arial"/>
                <w:sz w:val="18"/>
                <w:szCs w:val="18"/>
              </w:rPr>
            </w:pPr>
            <w:r>
              <w:rPr>
                <w:rFonts w:ascii="Arial" w:hAnsi="Arial" w:cs="Arial"/>
                <w:sz w:val="18"/>
                <w:szCs w:val="18"/>
              </w:rPr>
              <w:t xml:space="preserve">Ability to describe the training </w:t>
            </w:r>
            <w:r w:rsidR="00A415CF">
              <w:rPr>
                <w:rFonts w:ascii="Arial" w:hAnsi="Arial" w:cs="Arial"/>
                <w:sz w:val="18"/>
                <w:szCs w:val="18"/>
              </w:rPr>
              <w:t>done</w:t>
            </w:r>
            <w:r>
              <w:rPr>
                <w:rFonts w:ascii="Arial" w:hAnsi="Arial" w:cs="Arial"/>
                <w:sz w:val="18"/>
                <w:szCs w:val="18"/>
              </w:rPr>
              <w:t xml:space="preserve"> to develop the knowledge, skills and professional expertise required to undertake complex compounding.</w:t>
            </w:r>
          </w:p>
          <w:p w:rsidR="00E10391" w:rsidRPr="00F559B5" w:rsidRDefault="00E10391" w:rsidP="00E10391">
            <w:pPr>
              <w:numPr>
                <w:ilvl w:val="0"/>
                <w:numId w:val="24"/>
              </w:numPr>
              <w:spacing w:before="40" w:after="40"/>
              <w:ind w:left="284"/>
              <w:rPr>
                <w:rFonts w:ascii="Arial" w:hAnsi="Arial" w:cs="Arial"/>
                <w:strike/>
                <w:sz w:val="18"/>
                <w:szCs w:val="18"/>
              </w:rPr>
            </w:pPr>
            <w:r w:rsidRPr="00F559B5">
              <w:rPr>
                <w:rFonts w:ascii="Arial" w:hAnsi="Arial" w:cs="Arial"/>
                <w:sz w:val="18"/>
                <w:szCs w:val="18"/>
              </w:rPr>
              <w:t>Ability to implement and describe practice change subsequent to reflective review process.</w:t>
            </w:r>
          </w:p>
        </w:tc>
      </w:tr>
    </w:tbl>
    <w:p w:rsidR="00E10391" w:rsidRDefault="00E10391" w:rsidP="00E10391"/>
    <w:p w:rsidR="00E10391" w:rsidRDefault="00E10391" w:rsidP="00E10391"/>
    <w:p w:rsidR="00E10391" w:rsidRDefault="00E10391" w:rsidP="00E10391">
      <w:pPr>
        <w:spacing w:line="276" w:lineRule="auto"/>
        <w:rPr>
          <w:b/>
          <w:color w:val="FF0000"/>
          <w:spacing w:val="-3"/>
        </w:rPr>
      </w:pPr>
      <w:r>
        <w:rPr>
          <w:color w:val="FF0000"/>
        </w:rPr>
        <w:br w:type="page"/>
      </w:r>
    </w:p>
    <w:p w:rsidR="00E10391" w:rsidRPr="00D80945" w:rsidRDefault="00E10391" w:rsidP="00E10391">
      <w:pPr>
        <w:pStyle w:val="Heading2"/>
        <w:jc w:val="center"/>
        <w:rPr>
          <w:rFonts w:ascii="Arial" w:hAnsi="Arial" w:cs="Arial"/>
          <w:i w:val="0"/>
        </w:rPr>
      </w:pPr>
      <w:bookmarkStart w:id="12" w:name="_Toc377638234"/>
      <w:r w:rsidRPr="00D80945">
        <w:rPr>
          <w:rFonts w:ascii="Arial" w:hAnsi="Arial" w:cs="Arial"/>
          <w:i w:val="0"/>
          <w:color w:val="FF0000"/>
        </w:rPr>
        <w:lastRenderedPageBreak/>
        <w:t>Domain 2:</w:t>
      </w:r>
      <w:r w:rsidRPr="00D80945">
        <w:rPr>
          <w:rFonts w:ascii="Arial" w:hAnsi="Arial" w:cs="Arial"/>
          <w:i w:val="0"/>
        </w:rPr>
        <w:t xml:space="preserve"> Communication, collaboration and self-management</w:t>
      </w:r>
      <w:bookmarkEnd w:id="12"/>
    </w:p>
    <w:p w:rsidR="00E10391" w:rsidRPr="00D80945" w:rsidRDefault="00E10391" w:rsidP="00E10391">
      <w:pPr>
        <w:pStyle w:val="Heading3"/>
        <w:rPr>
          <w:rFonts w:ascii="Arial" w:hAnsi="Arial" w:cs="Arial"/>
        </w:rPr>
      </w:pPr>
      <w:bookmarkStart w:id="13" w:name="_Toc377638235"/>
      <w:r w:rsidRPr="00D80945">
        <w:rPr>
          <w:rFonts w:ascii="Arial" w:hAnsi="Arial" w:cs="Arial"/>
          <w:color w:val="FF0000"/>
        </w:rPr>
        <w:t>Standard 2.1</w:t>
      </w:r>
      <w:r w:rsidRPr="00D80945">
        <w:rPr>
          <w:rFonts w:ascii="Arial" w:hAnsi="Arial" w:cs="Arial"/>
        </w:rPr>
        <w:t xml:space="preserve"> Communicate effectively</w:t>
      </w:r>
      <w:bookmarkEnd w:id="13"/>
    </w:p>
    <w:p w:rsidR="00E10391" w:rsidRPr="00D80945" w:rsidRDefault="00E10391" w:rsidP="00E10391">
      <w:pPr>
        <w:rPr>
          <w:rFonts w:ascii="Arial" w:hAnsi="Arial" w:cs="Arial"/>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237"/>
      </w:tblGrid>
      <w:tr w:rsidR="00E10391" w:rsidRPr="00F559B5" w:rsidTr="00A66271">
        <w:trPr>
          <w:cantSplit/>
          <w:tblHeader/>
        </w:trPr>
        <w:tc>
          <w:tcPr>
            <w:tcW w:w="3686" w:type="dxa"/>
            <w:tcBorders>
              <w:bottom w:val="single" w:sz="4" w:space="0" w:color="auto"/>
            </w:tcBorders>
            <w:shd w:val="clear" w:color="auto" w:fill="548DD4" w:themeFill="text2" w:themeFillTint="99"/>
          </w:tcPr>
          <w:p w:rsidR="00E10391" w:rsidRPr="00F559B5" w:rsidRDefault="00E10391" w:rsidP="00186360">
            <w:pPr>
              <w:widowControl w:val="0"/>
              <w:spacing w:before="40" w:after="40"/>
              <w:ind w:left="567" w:hanging="567"/>
              <w:rPr>
                <w:rFonts w:ascii="Arial" w:hAnsi="Arial" w:cs="Arial"/>
                <w:b/>
                <w:sz w:val="18"/>
                <w:szCs w:val="18"/>
              </w:rPr>
            </w:pPr>
            <w:r w:rsidRPr="00F559B5">
              <w:rPr>
                <w:rFonts w:ascii="Arial" w:hAnsi="Arial" w:cs="Arial"/>
                <w:b/>
                <w:sz w:val="18"/>
                <w:szCs w:val="18"/>
              </w:rPr>
              <w:t xml:space="preserve">Performance </w:t>
            </w:r>
            <w:r w:rsidR="00186360">
              <w:rPr>
                <w:rFonts w:ascii="Arial" w:hAnsi="Arial" w:cs="Arial"/>
                <w:b/>
                <w:sz w:val="18"/>
                <w:szCs w:val="18"/>
              </w:rPr>
              <w:t>c</w:t>
            </w:r>
            <w:r w:rsidRPr="00F559B5">
              <w:rPr>
                <w:rFonts w:ascii="Arial" w:hAnsi="Arial" w:cs="Arial"/>
                <w:b/>
                <w:sz w:val="18"/>
                <w:szCs w:val="18"/>
              </w:rPr>
              <w:t>riteria</w:t>
            </w:r>
          </w:p>
        </w:tc>
        <w:tc>
          <w:tcPr>
            <w:tcW w:w="6237" w:type="dxa"/>
            <w:tcBorders>
              <w:bottom w:val="single" w:sz="4" w:space="0" w:color="auto"/>
            </w:tcBorders>
            <w:shd w:val="clear" w:color="auto" w:fill="548DD4" w:themeFill="text2" w:themeFillTint="99"/>
          </w:tcPr>
          <w:p w:rsidR="00E10391" w:rsidRPr="00F559B5" w:rsidRDefault="00E10391" w:rsidP="00186360">
            <w:pPr>
              <w:widowControl w:val="0"/>
              <w:spacing w:before="40" w:after="40"/>
              <w:ind w:left="284" w:hanging="284"/>
              <w:rPr>
                <w:rFonts w:ascii="Arial" w:hAnsi="Arial" w:cs="Arial"/>
                <w:b/>
                <w:sz w:val="18"/>
                <w:szCs w:val="18"/>
              </w:rPr>
            </w:pPr>
            <w:r w:rsidRPr="00F559B5">
              <w:rPr>
                <w:rFonts w:ascii="Arial" w:hAnsi="Arial" w:cs="Arial"/>
                <w:b/>
                <w:sz w:val="18"/>
                <w:szCs w:val="18"/>
              </w:rPr>
              <w:t xml:space="preserve">Evidence </w:t>
            </w:r>
            <w:r w:rsidR="00186360">
              <w:rPr>
                <w:rFonts w:ascii="Arial" w:hAnsi="Arial" w:cs="Arial"/>
                <w:b/>
                <w:sz w:val="18"/>
                <w:szCs w:val="18"/>
              </w:rPr>
              <w:t>e</w:t>
            </w:r>
            <w:r w:rsidRPr="00F559B5">
              <w:rPr>
                <w:rFonts w:ascii="Arial" w:hAnsi="Arial" w:cs="Arial"/>
                <w:b/>
                <w:sz w:val="18"/>
                <w:szCs w:val="18"/>
              </w:rPr>
              <w:t>xamples</w:t>
            </w:r>
          </w:p>
        </w:tc>
      </w:tr>
      <w:tr w:rsidR="00E10391" w:rsidRPr="00F559B5" w:rsidTr="00A66271">
        <w:trPr>
          <w:cantSplit/>
        </w:trPr>
        <w:tc>
          <w:tcPr>
            <w:tcW w:w="9923" w:type="dxa"/>
            <w:gridSpan w:val="2"/>
            <w:tcBorders>
              <w:bottom w:val="single" w:sz="4" w:space="0" w:color="auto"/>
            </w:tcBorders>
            <w:shd w:val="clear" w:color="auto" w:fill="FABF8F" w:themeFill="accent6" w:themeFillTint="99"/>
          </w:tcPr>
          <w:p w:rsidR="00E10391" w:rsidRPr="00F559B5" w:rsidRDefault="00E10391" w:rsidP="00A66271">
            <w:pPr>
              <w:widowControl w:val="0"/>
              <w:spacing w:before="40" w:after="40"/>
              <w:ind w:left="284" w:hanging="284"/>
              <w:rPr>
                <w:rFonts w:ascii="Arial" w:hAnsi="Arial" w:cs="Arial"/>
                <w:b/>
                <w:sz w:val="18"/>
                <w:szCs w:val="18"/>
              </w:rPr>
            </w:pPr>
            <w:r w:rsidRPr="00F559B5">
              <w:rPr>
                <w:rFonts w:ascii="Arial" w:hAnsi="Arial" w:cs="Arial"/>
                <w:b/>
                <w:sz w:val="18"/>
                <w:szCs w:val="18"/>
              </w:rPr>
              <w:t>Element 1 – Adopt sound principles for communication</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widowControl w:val="0"/>
              <w:spacing w:before="40" w:after="40"/>
              <w:ind w:left="397" w:hanging="397"/>
              <w:rPr>
                <w:rFonts w:ascii="Arial" w:hAnsi="Arial" w:cs="Arial"/>
                <w:sz w:val="18"/>
                <w:szCs w:val="18"/>
              </w:rPr>
            </w:pPr>
            <w:r w:rsidRPr="00F559B5">
              <w:rPr>
                <w:rFonts w:ascii="Arial" w:hAnsi="Arial" w:cs="Arial"/>
                <w:sz w:val="18"/>
                <w:szCs w:val="18"/>
              </w:rPr>
              <w:t>1</w:t>
            </w:r>
            <w:r w:rsidRPr="00F559B5">
              <w:rPr>
                <w:rFonts w:ascii="Arial" w:hAnsi="Arial" w:cs="Arial"/>
                <w:sz w:val="18"/>
                <w:szCs w:val="18"/>
              </w:rPr>
              <w:tab/>
              <w:t>Maintains open lines of communication.</w:t>
            </w:r>
          </w:p>
        </w:tc>
        <w:tc>
          <w:tcPr>
            <w:tcW w:w="6237" w:type="dxa"/>
            <w:shd w:val="clear" w:color="auto" w:fill="DBE5F1" w:themeFill="accent1" w:themeFillTint="33"/>
          </w:tcPr>
          <w:p w:rsidR="00E10391" w:rsidRPr="00F559B5" w:rsidRDefault="00E10391" w:rsidP="00E10391">
            <w:pPr>
              <w:widowControl w:val="0"/>
              <w:numPr>
                <w:ilvl w:val="0"/>
                <w:numId w:val="24"/>
              </w:numPr>
              <w:spacing w:before="40" w:after="40"/>
              <w:ind w:left="284"/>
              <w:rPr>
                <w:rFonts w:ascii="Arial" w:hAnsi="Arial" w:cs="Arial"/>
                <w:sz w:val="18"/>
                <w:szCs w:val="18"/>
              </w:rPr>
            </w:pPr>
            <w:r w:rsidRPr="00F559B5">
              <w:rPr>
                <w:rFonts w:ascii="Arial" w:hAnsi="Arial" w:cs="Arial"/>
                <w:sz w:val="18"/>
                <w:szCs w:val="18"/>
              </w:rPr>
              <w:t>Ability to exchange and share information with others.</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widowControl w:val="0"/>
              <w:spacing w:before="40" w:after="40"/>
              <w:ind w:left="397" w:hanging="397"/>
              <w:rPr>
                <w:rFonts w:ascii="Arial" w:hAnsi="Arial" w:cs="Arial"/>
                <w:sz w:val="18"/>
                <w:szCs w:val="18"/>
              </w:rPr>
            </w:pPr>
            <w:r w:rsidRPr="00F559B5">
              <w:rPr>
                <w:rFonts w:ascii="Arial" w:hAnsi="Arial" w:cs="Arial"/>
                <w:sz w:val="18"/>
                <w:szCs w:val="18"/>
              </w:rPr>
              <w:t>2</w:t>
            </w:r>
            <w:r w:rsidRPr="00F559B5">
              <w:rPr>
                <w:rFonts w:ascii="Arial" w:hAnsi="Arial" w:cs="Arial"/>
                <w:sz w:val="18"/>
                <w:szCs w:val="18"/>
              </w:rPr>
              <w:tab/>
              <w:t>Values the input of others.</w:t>
            </w:r>
          </w:p>
        </w:tc>
        <w:tc>
          <w:tcPr>
            <w:tcW w:w="6237" w:type="dxa"/>
            <w:shd w:val="clear" w:color="auto" w:fill="DBE5F1" w:themeFill="accent1" w:themeFillTint="33"/>
          </w:tcPr>
          <w:p w:rsidR="00E10391" w:rsidRPr="00F559B5" w:rsidRDefault="00E10391" w:rsidP="00E10391">
            <w:pPr>
              <w:widowControl w:val="0"/>
              <w:numPr>
                <w:ilvl w:val="0"/>
                <w:numId w:val="24"/>
              </w:numPr>
              <w:spacing w:before="40" w:after="40"/>
              <w:ind w:left="284"/>
              <w:rPr>
                <w:rFonts w:ascii="Arial" w:hAnsi="Arial" w:cs="Arial"/>
                <w:sz w:val="18"/>
                <w:szCs w:val="18"/>
              </w:rPr>
            </w:pPr>
            <w:r w:rsidRPr="00F559B5">
              <w:rPr>
                <w:rFonts w:ascii="Arial" w:hAnsi="Arial" w:cs="Arial"/>
                <w:sz w:val="18"/>
                <w:szCs w:val="18"/>
              </w:rPr>
              <w:t>Ability to demonstrate respect for the opinions and views of others.</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widowControl w:val="0"/>
              <w:spacing w:before="40" w:after="40"/>
              <w:ind w:left="397" w:hanging="397"/>
              <w:rPr>
                <w:rFonts w:ascii="Arial" w:hAnsi="Arial" w:cs="Arial"/>
                <w:sz w:val="18"/>
                <w:szCs w:val="18"/>
              </w:rPr>
            </w:pPr>
            <w:r w:rsidRPr="00F559B5">
              <w:rPr>
                <w:rFonts w:ascii="Arial" w:hAnsi="Arial" w:cs="Arial"/>
                <w:sz w:val="18"/>
                <w:szCs w:val="18"/>
              </w:rPr>
              <w:t>3</w:t>
            </w:r>
            <w:r w:rsidRPr="00F559B5">
              <w:rPr>
                <w:rFonts w:ascii="Arial" w:hAnsi="Arial" w:cs="Arial"/>
                <w:sz w:val="18"/>
                <w:szCs w:val="18"/>
              </w:rPr>
              <w:tab/>
              <w:t>Understands that non-verbal elements can exert a significant impact on the effectiveness of communication.</w:t>
            </w:r>
          </w:p>
        </w:tc>
        <w:tc>
          <w:tcPr>
            <w:tcW w:w="6237" w:type="dxa"/>
            <w:shd w:val="clear" w:color="auto" w:fill="DBE5F1" w:themeFill="accent1" w:themeFillTint="33"/>
          </w:tcPr>
          <w:p w:rsidR="00E10391" w:rsidRPr="00F559B5" w:rsidRDefault="00E10391" w:rsidP="00E10391">
            <w:pPr>
              <w:widowControl w:val="0"/>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key non-verbal factors impacting communication (e.g. presentation, posture, gestures, facial expression).</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widowControl w:val="0"/>
              <w:spacing w:before="40" w:after="40"/>
              <w:ind w:left="397" w:hanging="397"/>
              <w:rPr>
                <w:rFonts w:ascii="Arial" w:hAnsi="Arial" w:cs="Arial"/>
                <w:sz w:val="18"/>
                <w:szCs w:val="18"/>
              </w:rPr>
            </w:pPr>
            <w:r w:rsidRPr="00F559B5">
              <w:rPr>
                <w:rFonts w:ascii="Arial" w:hAnsi="Arial" w:cs="Arial"/>
                <w:sz w:val="18"/>
                <w:szCs w:val="18"/>
              </w:rPr>
              <w:t>4</w:t>
            </w:r>
            <w:r w:rsidRPr="00F559B5">
              <w:rPr>
                <w:rFonts w:ascii="Arial" w:hAnsi="Arial" w:cs="Arial"/>
                <w:sz w:val="18"/>
                <w:szCs w:val="18"/>
              </w:rPr>
              <w:tab/>
              <w:t>Recognises barriers to effective communication must be addressed.</w:t>
            </w:r>
          </w:p>
        </w:tc>
        <w:tc>
          <w:tcPr>
            <w:tcW w:w="6237" w:type="dxa"/>
            <w:shd w:val="clear" w:color="auto" w:fill="DBE5F1" w:themeFill="accent1" w:themeFillTint="33"/>
          </w:tcPr>
          <w:p w:rsidR="00E10391" w:rsidRPr="00F559B5" w:rsidRDefault="00E10391" w:rsidP="00E10391">
            <w:pPr>
              <w:widowControl w:val="0"/>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barriers to effective communication (e.g. emotional status (distress, anger or aggression), culture, values and beliefs, sensory impairment (hearing or vision), disabilities (mental or physical), personality conflict, socioeconomic or educational status, communication through a third party).</w:t>
            </w:r>
          </w:p>
          <w:p w:rsidR="00E10391" w:rsidRPr="00F559B5" w:rsidRDefault="00E10391" w:rsidP="00E10391">
            <w:pPr>
              <w:widowControl w:val="0"/>
              <w:numPr>
                <w:ilvl w:val="0"/>
                <w:numId w:val="24"/>
              </w:numPr>
              <w:spacing w:before="40" w:after="40"/>
              <w:ind w:left="284"/>
              <w:rPr>
                <w:rFonts w:ascii="Arial" w:hAnsi="Arial" w:cs="Arial"/>
                <w:sz w:val="18"/>
                <w:szCs w:val="18"/>
              </w:rPr>
            </w:pPr>
            <w:r w:rsidRPr="00F559B5">
              <w:rPr>
                <w:rFonts w:ascii="Arial" w:hAnsi="Arial" w:cs="Arial"/>
                <w:sz w:val="18"/>
                <w:szCs w:val="18"/>
              </w:rPr>
              <w:t>Ability to demonstrate or describe strategies and/or resources to address barriers to effective communication (e.g. revised communication pathways, tools for third party communication).</w:t>
            </w:r>
          </w:p>
        </w:tc>
      </w:tr>
      <w:tr w:rsidR="00E10391" w:rsidRPr="00F559B5" w:rsidTr="00A66271">
        <w:trPr>
          <w:cantSplit/>
        </w:trPr>
        <w:tc>
          <w:tcPr>
            <w:tcW w:w="9923" w:type="dxa"/>
            <w:gridSpan w:val="2"/>
            <w:shd w:val="clear" w:color="auto" w:fill="FABF8F" w:themeFill="accent6" w:themeFillTint="99"/>
          </w:tcPr>
          <w:p w:rsidR="00E10391" w:rsidRPr="00F559B5" w:rsidRDefault="00E10391" w:rsidP="00A66271">
            <w:pPr>
              <w:widowControl w:val="0"/>
              <w:spacing w:before="40" w:after="40"/>
              <w:rPr>
                <w:rFonts w:ascii="Arial" w:hAnsi="Arial" w:cs="Arial"/>
                <w:strike/>
                <w:sz w:val="18"/>
                <w:szCs w:val="18"/>
              </w:rPr>
            </w:pPr>
            <w:r w:rsidRPr="00F559B5">
              <w:rPr>
                <w:rFonts w:ascii="Arial" w:hAnsi="Arial" w:cs="Arial"/>
                <w:b/>
                <w:sz w:val="18"/>
                <w:szCs w:val="18"/>
              </w:rPr>
              <w:t>Element 2 – Adapt communication for cultural and linguistic diversity</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widowControl w:val="0"/>
              <w:spacing w:before="40" w:after="40"/>
              <w:ind w:left="397" w:hanging="397"/>
              <w:rPr>
                <w:rFonts w:ascii="Arial" w:hAnsi="Arial" w:cs="Arial"/>
                <w:sz w:val="18"/>
                <w:szCs w:val="18"/>
              </w:rPr>
            </w:pPr>
            <w:r w:rsidRPr="00F559B5">
              <w:rPr>
                <w:rFonts w:ascii="Arial" w:hAnsi="Arial" w:cs="Arial"/>
                <w:sz w:val="18"/>
                <w:szCs w:val="18"/>
              </w:rPr>
              <w:t>1</w:t>
            </w:r>
            <w:r w:rsidRPr="00F559B5">
              <w:rPr>
                <w:rFonts w:ascii="Arial" w:hAnsi="Arial" w:cs="Arial"/>
                <w:sz w:val="18"/>
                <w:szCs w:val="18"/>
              </w:rPr>
              <w:tab/>
              <w:t>Understands the likely impact of the pharmacist’s values, beliefs and cultural and linguistic background on communication with consumers.</w:t>
            </w:r>
          </w:p>
        </w:tc>
        <w:tc>
          <w:tcPr>
            <w:tcW w:w="6237" w:type="dxa"/>
            <w:shd w:val="clear" w:color="auto" w:fill="DBE5F1" w:themeFill="accent1" w:themeFillTint="33"/>
          </w:tcPr>
          <w:p w:rsidR="00E10391" w:rsidRPr="00F559B5" w:rsidRDefault="00E10391" w:rsidP="00E10391">
            <w:pPr>
              <w:widowControl w:val="0"/>
              <w:numPr>
                <w:ilvl w:val="0"/>
                <w:numId w:val="24"/>
              </w:numPr>
              <w:spacing w:before="40" w:after="40"/>
              <w:ind w:left="284"/>
              <w:rPr>
                <w:rFonts w:ascii="Arial" w:hAnsi="Arial" w:cs="Arial"/>
                <w:sz w:val="18"/>
                <w:szCs w:val="18"/>
              </w:rPr>
            </w:pPr>
            <w:r w:rsidRPr="00F559B5">
              <w:rPr>
                <w:rFonts w:ascii="Arial" w:hAnsi="Arial" w:cs="Arial"/>
                <w:sz w:val="18"/>
                <w:szCs w:val="18"/>
              </w:rPr>
              <w:t>Ability to demonstrate insight into personal background issues that may impact on communication with consumers from a variety of cultural and linguistic backgrounds.</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widowControl w:val="0"/>
              <w:spacing w:before="40" w:after="40"/>
              <w:ind w:left="397" w:hanging="397"/>
              <w:rPr>
                <w:rFonts w:ascii="Arial" w:hAnsi="Arial" w:cs="Arial"/>
                <w:sz w:val="18"/>
                <w:szCs w:val="18"/>
              </w:rPr>
            </w:pPr>
            <w:r w:rsidRPr="00F559B5">
              <w:rPr>
                <w:rFonts w:ascii="Arial" w:hAnsi="Arial" w:cs="Arial"/>
                <w:sz w:val="18"/>
                <w:szCs w:val="18"/>
              </w:rPr>
              <w:t>2</w:t>
            </w:r>
            <w:r w:rsidRPr="00F559B5">
              <w:rPr>
                <w:rFonts w:ascii="Arial" w:hAnsi="Arial" w:cs="Arial"/>
                <w:sz w:val="18"/>
                <w:szCs w:val="18"/>
              </w:rPr>
              <w:tab/>
              <w:t>Recognises the special communication needs of consumers and/or carers with different cultural and linguistic backgrounds.</w:t>
            </w:r>
          </w:p>
        </w:tc>
        <w:tc>
          <w:tcPr>
            <w:tcW w:w="6237" w:type="dxa"/>
            <w:shd w:val="clear" w:color="auto" w:fill="DBE5F1" w:themeFill="accent1" w:themeFillTint="33"/>
          </w:tcPr>
          <w:p w:rsidR="00E10391" w:rsidRPr="00F559B5" w:rsidRDefault="00E10391" w:rsidP="00E10391">
            <w:pPr>
              <w:widowControl w:val="0"/>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demonstrate sensitivity to the needs, values, beliefs and cultural backgrounds of others. </w:t>
            </w:r>
          </w:p>
          <w:p w:rsidR="00E10391" w:rsidRPr="00F559B5" w:rsidRDefault="00E10391" w:rsidP="00E10391">
            <w:pPr>
              <w:widowControl w:val="0"/>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the barriers to communication that exist for consumers and/or carers with different cultural and linguistic backgrounds.</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widowControl w:val="0"/>
              <w:spacing w:before="40" w:after="40"/>
              <w:ind w:left="397" w:hanging="397"/>
              <w:rPr>
                <w:rFonts w:ascii="Arial" w:hAnsi="Arial" w:cs="Arial"/>
                <w:sz w:val="18"/>
                <w:szCs w:val="18"/>
              </w:rPr>
            </w:pPr>
            <w:r w:rsidRPr="00F559B5">
              <w:rPr>
                <w:rFonts w:ascii="Arial" w:hAnsi="Arial" w:cs="Arial"/>
                <w:sz w:val="18"/>
                <w:szCs w:val="18"/>
              </w:rPr>
              <w:t>3</w:t>
            </w:r>
            <w:r w:rsidRPr="00F559B5">
              <w:rPr>
                <w:rFonts w:ascii="Arial" w:hAnsi="Arial" w:cs="Arial"/>
                <w:sz w:val="18"/>
                <w:szCs w:val="18"/>
              </w:rPr>
              <w:tab/>
              <w:t>Responds, as far as practicable, to the needs of those from diverse cultural and linguistic backgrounds.</w:t>
            </w:r>
          </w:p>
        </w:tc>
        <w:tc>
          <w:tcPr>
            <w:tcW w:w="6237" w:type="dxa"/>
            <w:shd w:val="clear" w:color="auto" w:fill="DBE5F1" w:themeFill="accent1" w:themeFillTint="33"/>
          </w:tcPr>
          <w:p w:rsidR="00E10391" w:rsidRPr="00F559B5" w:rsidRDefault="00E10391" w:rsidP="00911A1E">
            <w:pPr>
              <w:widowControl w:val="0"/>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describe strategies and/or resources for communicating effectively with people from different cultural backgrounds, including </w:t>
            </w:r>
            <w:r w:rsidR="00911A1E">
              <w:rPr>
                <w:rFonts w:ascii="Arial" w:hAnsi="Arial" w:cs="Arial"/>
                <w:sz w:val="18"/>
                <w:szCs w:val="18"/>
              </w:rPr>
              <w:t>I</w:t>
            </w:r>
            <w:r w:rsidRPr="00F559B5">
              <w:rPr>
                <w:rFonts w:ascii="Arial" w:hAnsi="Arial" w:cs="Arial"/>
                <w:sz w:val="18"/>
                <w:szCs w:val="18"/>
              </w:rPr>
              <w:t>ndigenous Australians (e.g. use of appropriate interpreters, revised communication pathways).</w:t>
            </w:r>
          </w:p>
        </w:tc>
      </w:tr>
      <w:tr w:rsidR="00E10391" w:rsidRPr="00F559B5" w:rsidTr="00A66271">
        <w:trPr>
          <w:cantSplit/>
        </w:trPr>
        <w:tc>
          <w:tcPr>
            <w:tcW w:w="9923" w:type="dxa"/>
            <w:gridSpan w:val="2"/>
            <w:tcBorders>
              <w:bottom w:val="single" w:sz="4" w:space="0" w:color="auto"/>
            </w:tcBorders>
            <w:shd w:val="clear" w:color="auto" w:fill="FABF8F" w:themeFill="accent6" w:themeFillTint="99"/>
          </w:tcPr>
          <w:p w:rsidR="00E10391" w:rsidRPr="00F559B5" w:rsidRDefault="00E10391" w:rsidP="00A66271">
            <w:pPr>
              <w:keepNext/>
              <w:widowControl w:val="0"/>
              <w:spacing w:before="40" w:after="40"/>
              <w:ind w:left="284" w:hanging="284"/>
              <w:rPr>
                <w:rFonts w:ascii="Arial" w:hAnsi="Arial" w:cs="Arial"/>
                <w:b/>
                <w:sz w:val="18"/>
                <w:szCs w:val="18"/>
              </w:rPr>
            </w:pPr>
            <w:r w:rsidRPr="00F559B5">
              <w:rPr>
                <w:rFonts w:ascii="Arial" w:hAnsi="Arial" w:cs="Arial"/>
                <w:b/>
                <w:sz w:val="18"/>
                <w:szCs w:val="18"/>
              </w:rPr>
              <w:t>Element 3 – Manage the communication process</w:t>
            </w:r>
          </w:p>
        </w:tc>
      </w:tr>
      <w:tr w:rsidR="00E10391" w:rsidRPr="00F559B5" w:rsidTr="00A66271">
        <w:trPr>
          <w:cantSplit/>
          <w:trHeight w:val="1066"/>
        </w:trPr>
        <w:tc>
          <w:tcPr>
            <w:tcW w:w="3686" w:type="dxa"/>
            <w:shd w:val="clear" w:color="auto" w:fill="DBE5F1" w:themeFill="accent1" w:themeFillTint="33"/>
          </w:tcPr>
          <w:p w:rsidR="00E10391" w:rsidRPr="00F559B5" w:rsidRDefault="00E10391" w:rsidP="00A66271">
            <w:pPr>
              <w:widowControl w:val="0"/>
              <w:spacing w:before="40" w:after="40"/>
              <w:ind w:left="397" w:hanging="397"/>
              <w:rPr>
                <w:rFonts w:ascii="Arial" w:hAnsi="Arial" w:cs="Arial"/>
                <w:sz w:val="18"/>
                <w:szCs w:val="18"/>
              </w:rPr>
            </w:pPr>
            <w:r w:rsidRPr="00F559B5">
              <w:rPr>
                <w:rFonts w:ascii="Arial" w:hAnsi="Arial" w:cs="Arial"/>
                <w:sz w:val="18"/>
                <w:szCs w:val="18"/>
              </w:rPr>
              <w:t>1</w:t>
            </w:r>
            <w:r w:rsidRPr="00F559B5">
              <w:rPr>
                <w:rFonts w:ascii="Arial" w:hAnsi="Arial" w:cs="Arial"/>
                <w:sz w:val="18"/>
                <w:szCs w:val="18"/>
              </w:rPr>
              <w:tab/>
              <w:t>Establish rapport and empathy with the consumer.</w:t>
            </w:r>
          </w:p>
        </w:tc>
        <w:tc>
          <w:tcPr>
            <w:tcW w:w="6237" w:type="dxa"/>
            <w:shd w:val="clear" w:color="auto" w:fill="DBE5F1" w:themeFill="accent1" w:themeFillTint="33"/>
          </w:tcPr>
          <w:p w:rsidR="00E10391" w:rsidRPr="00F559B5" w:rsidRDefault="00E10391" w:rsidP="00E10391">
            <w:pPr>
              <w:widowControl w:val="0"/>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actively listen, empathise and engage with the consumer and understand their position/needs.</w:t>
            </w:r>
          </w:p>
          <w:p w:rsidR="00E10391" w:rsidRPr="00F559B5" w:rsidRDefault="00E10391" w:rsidP="00E10391">
            <w:pPr>
              <w:widowControl w:val="0"/>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express opinions and provide information in written and/or verbal form in a manner that does not elicit concern, anger or other adverse response.</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widowControl w:val="0"/>
              <w:spacing w:before="40" w:after="40"/>
              <w:ind w:left="397" w:hanging="397"/>
              <w:rPr>
                <w:rFonts w:ascii="Arial" w:hAnsi="Arial" w:cs="Arial"/>
                <w:strike/>
                <w:sz w:val="18"/>
                <w:szCs w:val="18"/>
              </w:rPr>
            </w:pPr>
            <w:r w:rsidRPr="00F559B5">
              <w:rPr>
                <w:rFonts w:ascii="Arial" w:hAnsi="Arial" w:cs="Arial"/>
                <w:sz w:val="18"/>
                <w:szCs w:val="18"/>
              </w:rPr>
              <w:t>2</w:t>
            </w:r>
            <w:r w:rsidRPr="00F559B5">
              <w:rPr>
                <w:rFonts w:ascii="Arial" w:hAnsi="Arial" w:cs="Arial"/>
                <w:sz w:val="18"/>
                <w:szCs w:val="18"/>
              </w:rPr>
              <w:tab/>
              <w:t>Establishes communication pathways necessary to achieve desired work outcomes.</w:t>
            </w:r>
          </w:p>
        </w:tc>
        <w:tc>
          <w:tcPr>
            <w:tcW w:w="6237" w:type="dxa"/>
            <w:shd w:val="clear" w:color="auto" w:fill="DBE5F1" w:themeFill="accent1" w:themeFillTint="33"/>
          </w:tcPr>
          <w:p w:rsidR="00E10391" w:rsidRPr="00F559B5" w:rsidRDefault="00E10391" w:rsidP="00E10391">
            <w:pPr>
              <w:widowControl w:val="0"/>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the communication network established to achieve work outcomes.</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widowControl w:val="0"/>
              <w:spacing w:before="40" w:after="40"/>
              <w:ind w:left="397" w:hanging="397"/>
              <w:rPr>
                <w:rFonts w:ascii="Arial" w:hAnsi="Arial" w:cs="Arial"/>
                <w:sz w:val="18"/>
                <w:szCs w:val="18"/>
              </w:rPr>
            </w:pPr>
            <w:r w:rsidRPr="00F559B5">
              <w:rPr>
                <w:rFonts w:ascii="Arial" w:hAnsi="Arial" w:cs="Arial"/>
                <w:sz w:val="18"/>
                <w:szCs w:val="18"/>
              </w:rPr>
              <w:t>3</w:t>
            </w:r>
            <w:r w:rsidRPr="00F559B5">
              <w:rPr>
                <w:rFonts w:ascii="Arial" w:hAnsi="Arial" w:cs="Arial"/>
                <w:sz w:val="18"/>
                <w:szCs w:val="18"/>
              </w:rPr>
              <w:tab/>
              <w:t>Ensures communication is appropriate to the audience and the material.</w:t>
            </w:r>
          </w:p>
        </w:tc>
        <w:tc>
          <w:tcPr>
            <w:tcW w:w="6237" w:type="dxa"/>
            <w:shd w:val="clear" w:color="auto" w:fill="DBE5F1" w:themeFill="accent1" w:themeFillTint="33"/>
          </w:tcPr>
          <w:p w:rsidR="00E10391" w:rsidRPr="00F559B5" w:rsidRDefault="00E10391" w:rsidP="00E10391">
            <w:pPr>
              <w:widowControl w:val="0"/>
              <w:numPr>
                <w:ilvl w:val="0"/>
                <w:numId w:val="24"/>
              </w:numPr>
              <w:spacing w:before="40" w:after="40"/>
              <w:ind w:left="284"/>
              <w:rPr>
                <w:rFonts w:ascii="Arial" w:hAnsi="Arial" w:cs="Arial"/>
                <w:sz w:val="18"/>
                <w:szCs w:val="18"/>
              </w:rPr>
            </w:pPr>
            <w:r w:rsidRPr="00F559B5">
              <w:rPr>
                <w:rFonts w:ascii="Arial" w:hAnsi="Arial" w:cs="Arial"/>
                <w:sz w:val="18"/>
                <w:szCs w:val="18"/>
              </w:rPr>
              <w:t>Ability to select a vocabulary, communication style and form for both written and verbal communications that is appropriate for the situation, the audience and the material being communicated (e.g. avoids unnecessary jargon, clearly explains medical and pharmaceutical terminology).</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widowControl w:val="0"/>
              <w:spacing w:before="40" w:after="40"/>
              <w:ind w:left="397" w:hanging="397"/>
              <w:rPr>
                <w:rFonts w:ascii="Arial" w:hAnsi="Arial" w:cs="Arial"/>
                <w:sz w:val="18"/>
                <w:szCs w:val="18"/>
              </w:rPr>
            </w:pPr>
            <w:r w:rsidRPr="00F559B5">
              <w:rPr>
                <w:rFonts w:ascii="Arial" w:hAnsi="Arial" w:cs="Arial"/>
                <w:sz w:val="18"/>
                <w:szCs w:val="18"/>
              </w:rPr>
              <w:lastRenderedPageBreak/>
              <w:t>4</w:t>
            </w:r>
            <w:r w:rsidRPr="00F559B5">
              <w:rPr>
                <w:rFonts w:ascii="Arial" w:hAnsi="Arial" w:cs="Arial"/>
                <w:sz w:val="18"/>
                <w:szCs w:val="18"/>
              </w:rPr>
              <w:tab/>
              <w:t>Expresses thoughts and ideas clearly, consistently and unambiguously.</w:t>
            </w:r>
          </w:p>
        </w:tc>
        <w:tc>
          <w:tcPr>
            <w:tcW w:w="6237" w:type="dxa"/>
            <w:shd w:val="clear" w:color="auto" w:fill="DBE5F1" w:themeFill="accent1" w:themeFillTint="33"/>
          </w:tcPr>
          <w:p w:rsidR="00E10391" w:rsidRPr="00F559B5" w:rsidRDefault="00E10391" w:rsidP="00E10391">
            <w:pPr>
              <w:widowControl w:val="0"/>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discuss the importance of consistency of message for achieving credibility and attitudinal change.</w:t>
            </w:r>
          </w:p>
          <w:p w:rsidR="00E10391" w:rsidRPr="00F559B5" w:rsidRDefault="00E10391" w:rsidP="00E10391">
            <w:pPr>
              <w:widowControl w:val="0"/>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formulate and express ideas and opinions clearly in written and verbal form.</w:t>
            </w:r>
          </w:p>
          <w:p w:rsidR="00E10391" w:rsidRPr="00F559B5" w:rsidRDefault="00E10391" w:rsidP="00E10391">
            <w:pPr>
              <w:widowControl w:val="0"/>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communicate information accurately, concisely and confidently in writing and verbally.</w:t>
            </w:r>
          </w:p>
          <w:p w:rsidR="00E10391" w:rsidRPr="00F559B5" w:rsidRDefault="00E10391" w:rsidP="00E10391">
            <w:pPr>
              <w:widowControl w:val="0"/>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clarify and elaborate ideas, opinions and information to enhance understanding.</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widowControl w:val="0"/>
              <w:spacing w:before="40" w:after="40"/>
              <w:ind w:left="397" w:hanging="397"/>
              <w:rPr>
                <w:rFonts w:ascii="Arial" w:hAnsi="Arial" w:cs="Arial"/>
                <w:sz w:val="18"/>
                <w:szCs w:val="18"/>
              </w:rPr>
            </w:pPr>
            <w:r w:rsidRPr="00F559B5">
              <w:rPr>
                <w:rFonts w:ascii="Arial" w:hAnsi="Arial" w:cs="Arial"/>
                <w:sz w:val="18"/>
                <w:szCs w:val="18"/>
              </w:rPr>
              <w:t>5</w:t>
            </w:r>
            <w:r w:rsidRPr="00F559B5">
              <w:rPr>
                <w:rFonts w:ascii="Arial" w:hAnsi="Arial" w:cs="Arial"/>
                <w:sz w:val="18"/>
                <w:szCs w:val="18"/>
              </w:rPr>
              <w:tab/>
              <w:t>Explores the needs of consumers and communicates relevant information.</w:t>
            </w:r>
          </w:p>
        </w:tc>
        <w:tc>
          <w:tcPr>
            <w:tcW w:w="6237" w:type="dxa"/>
            <w:shd w:val="clear" w:color="auto" w:fill="DBE5F1" w:themeFill="accent1" w:themeFillTint="33"/>
          </w:tcPr>
          <w:p w:rsidR="00E10391" w:rsidRPr="00F559B5" w:rsidRDefault="00E10391" w:rsidP="00E10391">
            <w:pPr>
              <w:widowControl w:val="0"/>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elicit needed information and identify the information needs of a particular audience/consumer.</w:t>
            </w:r>
          </w:p>
          <w:p w:rsidR="00E10391" w:rsidRPr="00F559B5" w:rsidRDefault="00E10391" w:rsidP="00E10391">
            <w:pPr>
              <w:widowControl w:val="0"/>
              <w:numPr>
                <w:ilvl w:val="0"/>
                <w:numId w:val="24"/>
              </w:numPr>
              <w:spacing w:before="40" w:after="40"/>
              <w:ind w:left="284"/>
              <w:rPr>
                <w:rFonts w:ascii="Arial" w:hAnsi="Arial" w:cs="Arial"/>
                <w:sz w:val="18"/>
                <w:szCs w:val="18"/>
              </w:rPr>
            </w:pPr>
            <w:r w:rsidRPr="00F559B5">
              <w:rPr>
                <w:rFonts w:ascii="Arial" w:hAnsi="Arial" w:cs="Arial"/>
                <w:sz w:val="18"/>
                <w:szCs w:val="18"/>
              </w:rPr>
              <w:t>Ability to ask relevant questions, listen attentively and respond to verbal and non-verbal cues and use an interpreter if necessary to clarify communication needs.</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widowControl w:val="0"/>
              <w:spacing w:before="40" w:after="40"/>
              <w:ind w:left="397" w:hanging="397"/>
              <w:rPr>
                <w:rFonts w:ascii="Arial" w:hAnsi="Arial" w:cs="Arial"/>
                <w:sz w:val="18"/>
                <w:szCs w:val="18"/>
              </w:rPr>
            </w:pPr>
            <w:r w:rsidRPr="00F559B5">
              <w:rPr>
                <w:rFonts w:ascii="Arial" w:hAnsi="Arial" w:cs="Arial"/>
                <w:sz w:val="18"/>
                <w:szCs w:val="18"/>
              </w:rPr>
              <w:t>6</w:t>
            </w:r>
            <w:r w:rsidRPr="00F559B5">
              <w:rPr>
                <w:rFonts w:ascii="Arial" w:hAnsi="Arial" w:cs="Arial"/>
                <w:sz w:val="18"/>
                <w:szCs w:val="18"/>
              </w:rPr>
              <w:tab/>
              <w:t>Verifies that the information provided has been received and understood.</w:t>
            </w:r>
          </w:p>
        </w:tc>
        <w:tc>
          <w:tcPr>
            <w:tcW w:w="6237" w:type="dxa"/>
            <w:shd w:val="clear" w:color="auto" w:fill="DBE5F1" w:themeFill="accent1" w:themeFillTint="33"/>
          </w:tcPr>
          <w:p w:rsidR="00E10391" w:rsidRPr="00F559B5" w:rsidRDefault="00E10391" w:rsidP="00E10391">
            <w:pPr>
              <w:widowControl w:val="0"/>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describe or demonstrate the use of a systematic process for following up that demonstrates written reports have been received and understood.</w:t>
            </w:r>
          </w:p>
          <w:p w:rsidR="00E10391" w:rsidRPr="00F559B5" w:rsidRDefault="00E10391" w:rsidP="00E10391">
            <w:pPr>
              <w:widowControl w:val="0"/>
              <w:numPr>
                <w:ilvl w:val="0"/>
                <w:numId w:val="24"/>
              </w:numPr>
              <w:spacing w:before="40" w:after="40"/>
              <w:ind w:left="284"/>
              <w:rPr>
                <w:rFonts w:ascii="Arial" w:hAnsi="Arial" w:cs="Arial"/>
                <w:sz w:val="18"/>
                <w:szCs w:val="18"/>
              </w:rPr>
            </w:pPr>
            <w:r w:rsidRPr="00F559B5">
              <w:rPr>
                <w:rFonts w:ascii="Arial" w:hAnsi="Arial" w:cs="Arial"/>
                <w:sz w:val="18"/>
                <w:szCs w:val="18"/>
              </w:rPr>
              <w:t>Ability to follow up, ask questions and/or use visual or other aids to confirm that the intended ‘message’ has been received and is understood.</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widowControl w:val="0"/>
              <w:spacing w:before="40" w:after="40"/>
              <w:ind w:left="397" w:hanging="397"/>
              <w:rPr>
                <w:rFonts w:ascii="Arial" w:hAnsi="Arial" w:cs="Arial"/>
                <w:strike/>
                <w:sz w:val="18"/>
                <w:szCs w:val="18"/>
              </w:rPr>
            </w:pPr>
            <w:r w:rsidRPr="00F559B5">
              <w:rPr>
                <w:rFonts w:ascii="Arial" w:hAnsi="Arial" w:cs="Arial"/>
                <w:sz w:val="18"/>
                <w:szCs w:val="18"/>
              </w:rPr>
              <w:t>7</w:t>
            </w:r>
            <w:r w:rsidRPr="00F559B5">
              <w:rPr>
                <w:rFonts w:ascii="Arial" w:hAnsi="Arial" w:cs="Arial"/>
                <w:sz w:val="18"/>
                <w:szCs w:val="18"/>
              </w:rPr>
              <w:tab/>
              <w:t xml:space="preserve">Recognises the importance of responding to feedback for improving  </w:t>
            </w:r>
            <w:r w:rsidRPr="00F559B5">
              <w:rPr>
                <w:rFonts w:ascii="Arial" w:hAnsi="Arial" w:cs="Arial"/>
                <w:strike/>
                <w:sz w:val="18"/>
                <w:szCs w:val="18"/>
              </w:rPr>
              <w:t xml:space="preserve"> </w:t>
            </w:r>
            <w:r w:rsidRPr="00F559B5">
              <w:rPr>
                <w:rFonts w:ascii="Arial" w:hAnsi="Arial" w:cs="Arial"/>
                <w:sz w:val="18"/>
                <w:szCs w:val="18"/>
              </w:rPr>
              <w:t>communication.</w:t>
            </w:r>
          </w:p>
        </w:tc>
        <w:tc>
          <w:tcPr>
            <w:tcW w:w="6237" w:type="dxa"/>
            <w:shd w:val="clear" w:color="auto" w:fill="DBE5F1" w:themeFill="accent1" w:themeFillTint="33"/>
          </w:tcPr>
          <w:p w:rsidR="00E10391" w:rsidRPr="00F559B5" w:rsidRDefault="00E10391" w:rsidP="00E10391">
            <w:pPr>
              <w:widowControl w:val="0"/>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explain how response to feedback enhances communication.</w:t>
            </w:r>
          </w:p>
          <w:p w:rsidR="00E10391" w:rsidRPr="00F559B5" w:rsidRDefault="00E10391" w:rsidP="00E10391">
            <w:pPr>
              <w:widowControl w:val="0"/>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describe ways in which communication has been altered in response to feedback.</w:t>
            </w:r>
          </w:p>
        </w:tc>
      </w:tr>
      <w:tr w:rsidR="00E10391" w:rsidRPr="00F559B5" w:rsidTr="00A66271">
        <w:trPr>
          <w:cantSplit/>
        </w:trPr>
        <w:tc>
          <w:tcPr>
            <w:tcW w:w="9923" w:type="dxa"/>
            <w:gridSpan w:val="2"/>
            <w:tcBorders>
              <w:bottom w:val="single" w:sz="4" w:space="0" w:color="auto"/>
            </w:tcBorders>
            <w:shd w:val="clear" w:color="auto" w:fill="FABF8F" w:themeFill="accent6" w:themeFillTint="99"/>
          </w:tcPr>
          <w:p w:rsidR="00E10391" w:rsidRPr="00F559B5" w:rsidRDefault="00E10391" w:rsidP="00A66271">
            <w:pPr>
              <w:widowControl w:val="0"/>
              <w:spacing w:before="40" w:after="40"/>
              <w:ind w:left="284" w:hanging="284"/>
              <w:rPr>
                <w:rFonts w:ascii="Arial" w:hAnsi="Arial" w:cs="Arial"/>
                <w:b/>
                <w:sz w:val="18"/>
                <w:szCs w:val="18"/>
              </w:rPr>
            </w:pPr>
            <w:r w:rsidRPr="00F559B5">
              <w:rPr>
                <w:rFonts w:ascii="Arial" w:hAnsi="Arial" w:cs="Arial"/>
                <w:b/>
                <w:sz w:val="18"/>
                <w:szCs w:val="18"/>
              </w:rPr>
              <w:t>Element 4 – Apply communication skills in negotiation</w:t>
            </w:r>
          </w:p>
        </w:tc>
      </w:tr>
      <w:tr w:rsidR="00E10391" w:rsidRPr="00F559B5" w:rsidTr="00A66271">
        <w:trPr>
          <w:cantSplit/>
          <w:trHeight w:val="707"/>
        </w:trPr>
        <w:tc>
          <w:tcPr>
            <w:tcW w:w="3686" w:type="dxa"/>
            <w:shd w:val="clear" w:color="auto" w:fill="DBE5F1" w:themeFill="accent1" w:themeFillTint="33"/>
          </w:tcPr>
          <w:p w:rsidR="00E10391" w:rsidRPr="00F559B5" w:rsidRDefault="00E10391" w:rsidP="00A66271">
            <w:pPr>
              <w:widowControl w:val="0"/>
              <w:spacing w:before="40" w:after="40"/>
              <w:ind w:left="397" w:hanging="397"/>
              <w:rPr>
                <w:rFonts w:ascii="Arial" w:hAnsi="Arial" w:cs="Arial"/>
                <w:sz w:val="18"/>
                <w:szCs w:val="18"/>
              </w:rPr>
            </w:pPr>
            <w:r w:rsidRPr="00F559B5">
              <w:rPr>
                <w:rFonts w:ascii="Arial" w:hAnsi="Arial" w:cs="Arial"/>
                <w:sz w:val="18"/>
                <w:szCs w:val="18"/>
              </w:rPr>
              <w:t>1</w:t>
            </w:r>
            <w:r w:rsidRPr="00F559B5">
              <w:rPr>
                <w:rFonts w:ascii="Arial" w:hAnsi="Arial" w:cs="Arial"/>
                <w:sz w:val="18"/>
                <w:szCs w:val="18"/>
              </w:rPr>
              <w:tab/>
              <w:t>Recognises circumstances where a negotiated outcome is required.</w:t>
            </w:r>
          </w:p>
        </w:tc>
        <w:tc>
          <w:tcPr>
            <w:tcW w:w="6237" w:type="dxa"/>
            <w:shd w:val="clear" w:color="auto" w:fill="DBE5F1" w:themeFill="accent1" w:themeFillTint="33"/>
          </w:tcPr>
          <w:p w:rsidR="00E10391" w:rsidRPr="00F559B5" w:rsidRDefault="00E10391" w:rsidP="00E10391">
            <w:pPr>
              <w:widowControl w:val="0"/>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describe circumstances in the workplace where conflicting interests must be or were addressed to achieve an outcome.</w:t>
            </w:r>
          </w:p>
        </w:tc>
      </w:tr>
      <w:tr w:rsidR="00E10391" w:rsidRPr="00F559B5" w:rsidTr="00A66271">
        <w:trPr>
          <w:cantSplit/>
          <w:trHeight w:val="782"/>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2</w:t>
            </w:r>
            <w:r w:rsidRPr="00F559B5">
              <w:rPr>
                <w:rFonts w:ascii="Arial" w:hAnsi="Arial" w:cs="Arial"/>
                <w:sz w:val="18"/>
                <w:szCs w:val="18"/>
              </w:rPr>
              <w:tab/>
              <w:t>Recognises the importance of research and preparation in the negotiation process.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identify and describe relevant information which will be necessary for a successful negotiation.</w:t>
            </w:r>
          </w:p>
        </w:tc>
      </w:tr>
      <w:tr w:rsidR="00E10391" w:rsidRPr="00F559B5" w:rsidTr="00A66271">
        <w:trPr>
          <w:cantSplit/>
          <w:trHeight w:val="980"/>
        </w:trPr>
        <w:tc>
          <w:tcPr>
            <w:tcW w:w="3686" w:type="dxa"/>
            <w:shd w:val="clear" w:color="auto" w:fill="DBE5F1" w:themeFill="accent1" w:themeFillTint="33"/>
          </w:tcPr>
          <w:p w:rsidR="00E10391" w:rsidRPr="00F559B5" w:rsidRDefault="00E10391" w:rsidP="00A66271">
            <w:pPr>
              <w:widowControl w:val="0"/>
              <w:spacing w:before="40" w:after="40"/>
              <w:ind w:left="397" w:hanging="397"/>
              <w:rPr>
                <w:rFonts w:ascii="Arial" w:hAnsi="Arial" w:cs="Arial"/>
                <w:sz w:val="18"/>
                <w:szCs w:val="18"/>
              </w:rPr>
            </w:pPr>
            <w:r w:rsidRPr="00F559B5">
              <w:rPr>
                <w:rFonts w:ascii="Arial" w:hAnsi="Arial" w:cs="Arial"/>
                <w:sz w:val="18"/>
                <w:szCs w:val="18"/>
              </w:rPr>
              <w:t>3</w:t>
            </w:r>
            <w:r w:rsidRPr="00F559B5">
              <w:rPr>
                <w:rFonts w:ascii="Arial" w:hAnsi="Arial" w:cs="Arial"/>
                <w:sz w:val="18"/>
                <w:szCs w:val="18"/>
              </w:rPr>
              <w:tab/>
              <w:t xml:space="preserve">Understands the importance of finding a position that satisfies the objectives of each party to the negotiation. </w:t>
            </w:r>
          </w:p>
        </w:tc>
        <w:tc>
          <w:tcPr>
            <w:tcW w:w="6237" w:type="dxa"/>
            <w:shd w:val="clear" w:color="auto" w:fill="DBE5F1" w:themeFill="accent1" w:themeFillTint="33"/>
          </w:tcPr>
          <w:p w:rsidR="00E10391" w:rsidRPr="00F559B5" w:rsidRDefault="00E10391" w:rsidP="00E10391">
            <w:pPr>
              <w:widowControl w:val="0"/>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describe the benefits of a negotiated outcome.</w:t>
            </w:r>
          </w:p>
          <w:p w:rsidR="00E10391" w:rsidRPr="00F559B5" w:rsidRDefault="00E10391" w:rsidP="00E10391">
            <w:pPr>
              <w:widowControl w:val="0"/>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describe acceptable outcomes for particular situations</w:t>
            </w:r>
            <w:r>
              <w:rPr>
                <w:rFonts w:ascii="Arial" w:hAnsi="Arial" w:cs="Arial"/>
                <w:sz w:val="18"/>
                <w:szCs w:val="18"/>
              </w:rPr>
              <w:t xml:space="preserve"> associated with the provision of complex compounding services</w:t>
            </w:r>
            <w:r w:rsidRPr="00F559B5">
              <w:rPr>
                <w:rFonts w:ascii="Arial" w:hAnsi="Arial" w:cs="Arial"/>
                <w:sz w:val="18"/>
                <w:szCs w:val="18"/>
              </w:rPr>
              <w:t>.</w:t>
            </w:r>
          </w:p>
        </w:tc>
      </w:tr>
      <w:tr w:rsidR="00E10391" w:rsidRPr="00F559B5" w:rsidTr="00A66271">
        <w:trPr>
          <w:cantSplit/>
          <w:trHeight w:val="1084"/>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4</w:t>
            </w:r>
            <w:r w:rsidRPr="00F559B5">
              <w:rPr>
                <w:rFonts w:ascii="Arial" w:hAnsi="Arial" w:cs="Arial"/>
                <w:sz w:val="18"/>
                <w:szCs w:val="18"/>
              </w:rPr>
              <w:tab/>
              <w:t>Addresses circumstances requiring a negotiated outcome.</w:t>
            </w:r>
          </w:p>
        </w:tc>
        <w:tc>
          <w:tcPr>
            <w:tcW w:w="6237" w:type="dxa"/>
            <w:shd w:val="clear" w:color="auto" w:fill="DBE5F1" w:themeFill="accent1" w:themeFillTint="33"/>
          </w:tcPr>
          <w:p w:rsidR="00E10391" w:rsidRPr="00F559B5" w:rsidRDefault="00E10391" w:rsidP="00E10391">
            <w:pPr>
              <w:widowControl w:val="0"/>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be assertive and use supportive and persuasive communication to achieve a desired outcome.</w:t>
            </w:r>
          </w:p>
          <w:p w:rsidR="00E10391" w:rsidRPr="00F559B5" w:rsidRDefault="00E10391" w:rsidP="00E10391">
            <w:pPr>
              <w:widowControl w:val="0"/>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describe or demonstrate an appropriate negotiation strategy for particular situation</w:t>
            </w:r>
            <w:r>
              <w:rPr>
                <w:rFonts w:ascii="Arial" w:hAnsi="Arial" w:cs="Arial"/>
                <w:sz w:val="18"/>
                <w:szCs w:val="18"/>
              </w:rPr>
              <w:t>s associated with the provision of complex compounding services</w:t>
            </w:r>
            <w:r w:rsidRPr="00F559B5">
              <w:rPr>
                <w:rFonts w:ascii="Arial" w:hAnsi="Arial" w:cs="Arial"/>
                <w:sz w:val="18"/>
                <w:szCs w:val="18"/>
              </w:rPr>
              <w:t>.</w:t>
            </w:r>
          </w:p>
        </w:tc>
      </w:tr>
    </w:tbl>
    <w:p w:rsidR="00E10391" w:rsidRPr="00F559B5" w:rsidRDefault="00E10391" w:rsidP="00E10391">
      <w:pPr>
        <w:pStyle w:val="Header"/>
        <w:rPr>
          <w:rFonts w:ascii="Arial" w:hAnsi="Arial" w:cs="Arial"/>
          <w:sz w:val="18"/>
          <w:szCs w:val="18"/>
        </w:rPr>
      </w:pPr>
    </w:p>
    <w:p w:rsidR="00E10391" w:rsidRPr="00F559B5" w:rsidRDefault="00E10391" w:rsidP="00E10391">
      <w:pPr>
        <w:pStyle w:val="Header"/>
        <w:rPr>
          <w:rFonts w:ascii="Arial" w:hAnsi="Arial" w:cs="Arial"/>
          <w:sz w:val="18"/>
          <w:szCs w:val="18"/>
        </w:rPr>
      </w:pPr>
    </w:p>
    <w:p w:rsidR="00E10391" w:rsidRPr="00D80945" w:rsidRDefault="00E10391" w:rsidP="00E10391">
      <w:pPr>
        <w:pStyle w:val="Heading3"/>
        <w:rPr>
          <w:rFonts w:ascii="Arial" w:hAnsi="Arial" w:cs="Arial"/>
        </w:rPr>
      </w:pPr>
      <w:bookmarkStart w:id="14" w:name="_Toc377638236"/>
      <w:r w:rsidRPr="00D80945">
        <w:rPr>
          <w:rFonts w:ascii="Arial" w:hAnsi="Arial" w:cs="Arial"/>
          <w:color w:val="FF0000"/>
        </w:rPr>
        <w:t>Standard 2.2</w:t>
      </w:r>
      <w:r w:rsidRPr="00D80945">
        <w:rPr>
          <w:rFonts w:ascii="Arial" w:hAnsi="Arial" w:cs="Arial"/>
        </w:rPr>
        <w:t xml:space="preserve"> Work to resolve problems</w:t>
      </w:r>
      <w:bookmarkEnd w:id="14"/>
    </w:p>
    <w:p w:rsidR="00E10391" w:rsidRPr="00D275D1" w:rsidRDefault="00E10391" w:rsidP="00E10391">
      <w:pPr>
        <w:pStyle w:val="Header"/>
        <w:rPr>
          <w:rFonts w:ascii="Arial" w:hAnsi="Arial" w:cs="Arial"/>
          <w:b/>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237"/>
      </w:tblGrid>
      <w:tr w:rsidR="00E10391" w:rsidRPr="00F559B5" w:rsidTr="00A66271">
        <w:trPr>
          <w:cantSplit/>
          <w:tblHeader/>
        </w:trPr>
        <w:tc>
          <w:tcPr>
            <w:tcW w:w="3686" w:type="dxa"/>
            <w:tcBorders>
              <w:bottom w:val="single" w:sz="4" w:space="0" w:color="auto"/>
            </w:tcBorders>
            <w:shd w:val="clear" w:color="auto" w:fill="548DD4" w:themeFill="text2" w:themeFillTint="99"/>
          </w:tcPr>
          <w:p w:rsidR="00E10391" w:rsidRPr="00F559B5" w:rsidRDefault="00E10391" w:rsidP="00186360">
            <w:pPr>
              <w:spacing w:before="60" w:after="60"/>
              <w:ind w:left="567" w:hanging="567"/>
              <w:rPr>
                <w:rFonts w:ascii="Arial" w:hAnsi="Arial" w:cs="Arial"/>
                <w:b/>
                <w:sz w:val="18"/>
                <w:szCs w:val="18"/>
              </w:rPr>
            </w:pPr>
            <w:r w:rsidRPr="00F559B5">
              <w:rPr>
                <w:rFonts w:ascii="Arial" w:hAnsi="Arial" w:cs="Arial"/>
                <w:b/>
                <w:sz w:val="18"/>
                <w:szCs w:val="18"/>
              </w:rPr>
              <w:t xml:space="preserve">Performance </w:t>
            </w:r>
            <w:r w:rsidR="00186360">
              <w:rPr>
                <w:rFonts w:ascii="Arial" w:hAnsi="Arial" w:cs="Arial"/>
                <w:b/>
                <w:sz w:val="18"/>
                <w:szCs w:val="18"/>
              </w:rPr>
              <w:t>c</w:t>
            </w:r>
            <w:r w:rsidRPr="00F559B5">
              <w:rPr>
                <w:rFonts w:ascii="Arial" w:hAnsi="Arial" w:cs="Arial"/>
                <w:b/>
                <w:sz w:val="18"/>
                <w:szCs w:val="18"/>
              </w:rPr>
              <w:t>riteria</w:t>
            </w:r>
          </w:p>
        </w:tc>
        <w:tc>
          <w:tcPr>
            <w:tcW w:w="6237" w:type="dxa"/>
            <w:tcBorders>
              <w:bottom w:val="single" w:sz="4" w:space="0" w:color="auto"/>
            </w:tcBorders>
            <w:shd w:val="clear" w:color="auto" w:fill="548DD4" w:themeFill="text2" w:themeFillTint="99"/>
          </w:tcPr>
          <w:p w:rsidR="00E10391" w:rsidRPr="00F559B5" w:rsidRDefault="00E10391" w:rsidP="00186360">
            <w:pPr>
              <w:spacing w:before="40" w:after="40"/>
              <w:ind w:left="284" w:hanging="284"/>
              <w:rPr>
                <w:rFonts w:ascii="Arial" w:hAnsi="Arial" w:cs="Arial"/>
                <w:b/>
                <w:sz w:val="18"/>
                <w:szCs w:val="18"/>
              </w:rPr>
            </w:pPr>
            <w:r w:rsidRPr="00F559B5">
              <w:rPr>
                <w:rFonts w:ascii="Arial" w:hAnsi="Arial" w:cs="Arial"/>
                <w:b/>
                <w:sz w:val="18"/>
                <w:szCs w:val="18"/>
              </w:rPr>
              <w:t xml:space="preserve">Evidence </w:t>
            </w:r>
            <w:r w:rsidR="00186360">
              <w:rPr>
                <w:rFonts w:ascii="Arial" w:hAnsi="Arial" w:cs="Arial"/>
                <w:b/>
                <w:sz w:val="18"/>
                <w:szCs w:val="18"/>
              </w:rPr>
              <w:t>e</w:t>
            </w:r>
            <w:r w:rsidRPr="00F559B5">
              <w:rPr>
                <w:rFonts w:ascii="Arial" w:hAnsi="Arial" w:cs="Arial"/>
                <w:b/>
                <w:sz w:val="18"/>
                <w:szCs w:val="18"/>
              </w:rPr>
              <w:t>xamples</w:t>
            </w:r>
          </w:p>
        </w:tc>
      </w:tr>
      <w:tr w:rsidR="00E10391" w:rsidRPr="00F559B5" w:rsidTr="00A66271">
        <w:trPr>
          <w:cantSplit/>
        </w:trPr>
        <w:tc>
          <w:tcPr>
            <w:tcW w:w="9923" w:type="dxa"/>
            <w:gridSpan w:val="2"/>
            <w:tcBorders>
              <w:bottom w:val="single" w:sz="4" w:space="0" w:color="auto"/>
            </w:tcBorders>
            <w:shd w:val="clear" w:color="auto" w:fill="FABF8F" w:themeFill="accent6" w:themeFillTint="99"/>
          </w:tcPr>
          <w:p w:rsidR="00E10391" w:rsidRPr="00F559B5" w:rsidRDefault="00E10391" w:rsidP="00A66271">
            <w:pPr>
              <w:spacing w:before="40" w:after="40"/>
              <w:ind w:left="284" w:hanging="284"/>
              <w:rPr>
                <w:rFonts w:ascii="Arial" w:hAnsi="Arial" w:cs="Arial"/>
                <w:b/>
                <w:sz w:val="18"/>
                <w:szCs w:val="18"/>
              </w:rPr>
            </w:pPr>
            <w:r w:rsidRPr="00F559B5">
              <w:rPr>
                <w:rFonts w:ascii="Arial" w:hAnsi="Arial" w:cs="Arial"/>
                <w:b/>
                <w:sz w:val="18"/>
                <w:szCs w:val="18"/>
              </w:rPr>
              <w:t>Element 1 – Analyse the problem/potential problem</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60" w:after="60"/>
              <w:ind w:left="397" w:hanging="397"/>
              <w:rPr>
                <w:rFonts w:ascii="Arial" w:hAnsi="Arial" w:cs="Arial"/>
                <w:sz w:val="18"/>
                <w:szCs w:val="18"/>
              </w:rPr>
            </w:pPr>
            <w:r w:rsidRPr="00F559B5">
              <w:rPr>
                <w:rFonts w:ascii="Arial" w:hAnsi="Arial" w:cs="Arial"/>
                <w:sz w:val="18"/>
                <w:szCs w:val="18"/>
              </w:rPr>
              <w:t>1</w:t>
            </w:r>
            <w:r w:rsidRPr="00F559B5">
              <w:rPr>
                <w:rFonts w:ascii="Arial" w:hAnsi="Arial" w:cs="Arial"/>
                <w:sz w:val="18"/>
                <w:szCs w:val="18"/>
              </w:rPr>
              <w:tab/>
              <w:t>Accepts responsibility for addressing problems.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demonstrate that problems are addressed in a timely manner as they arise.</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60" w:after="60"/>
              <w:ind w:left="397" w:hanging="397"/>
              <w:rPr>
                <w:rFonts w:ascii="Arial" w:hAnsi="Arial" w:cs="Arial"/>
                <w:sz w:val="18"/>
                <w:szCs w:val="18"/>
              </w:rPr>
            </w:pPr>
            <w:r w:rsidRPr="00F559B5">
              <w:rPr>
                <w:rFonts w:ascii="Arial" w:hAnsi="Arial" w:cs="Arial"/>
                <w:sz w:val="18"/>
                <w:szCs w:val="18"/>
              </w:rPr>
              <w:t>2</w:t>
            </w:r>
            <w:r w:rsidRPr="00F559B5">
              <w:rPr>
                <w:rFonts w:ascii="Arial" w:hAnsi="Arial" w:cs="Arial"/>
                <w:sz w:val="18"/>
                <w:szCs w:val="18"/>
              </w:rPr>
              <w:tab/>
              <w:t>Identifies and clarifies the problem and its likely causes.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identify and fully describe (verbally or in writing) the nature of a problem and probable causes or causative factors.</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60" w:after="60"/>
              <w:ind w:left="397" w:hanging="397"/>
              <w:rPr>
                <w:rFonts w:ascii="Arial" w:hAnsi="Arial" w:cs="Arial"/>
                <w:sz w:val="18"/>
                <w:szCs w:val="18"/>
              </w:rPr>
            </w:pPr>
            <w:r w:rsidRPr="00F559B5">
              <w:rPr>
                <w:rFonts w:ascii="Arial" w:hAnsi="Arial" w:cs="Arial"/>
                <w:sz w:val="18"/>
                <w:szCs w:val="18"/>
              </w:rPr>
              <w:t>3</w:t>
            </w:r>
            <w:r w:rsidRPr="00F559B5">
              <w:rPr>
                <w:rFonts w:ascii="Arial" w:hAnsi="Arial" w:cs="Arial"/>
                <w:sz w:val="18"/>
                <w:szCs w:val="18"/>
              </w:rPr>
              <w:tab/>
              <w:t>Identifies possible approaches for resolving the problem.</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document the identified problem(s), causative factor(s) and options for resolving the problem.</w:t>
            </w:r>
          </w:p>
        </w:tc>
      </w:tr>
      <w:tr w:rsidR="00E10391" w:rsidRPr="00F559B5" w:rsidTr="00A66271">
        <w:trPr>
          <w:cantSplit/>
        </w:trPr>
        <w:tc>
          <w:tcPr>
            <w:tcW w:w="9923" w:type="dxa"/>
            <w:gridSpan w:val="2"/>
            <w:tcBorders>
              <w:bottom w:val="single" w:sz="4" w:space="0" w:color="auto"/>
            </w:tcBorders>
            <w:shd w:val="clear" w:color="auto" w:fill="FABF8F" w:themeFill="accent6" w:themeFillTint="99"/>
          </w:tcPr>
          <w:p w:rsidR="00E10391" w:rsidRPr="00F559B5" w:rsidRDefault="00E10391" w:rsidP="00A66271">
            <w:pPr>
              <w:spacing w:before="40" w:after="40"/>
              <w:ind w:left="284" w:hanging="284"/>
              <w:rPr>
                <w:rFonts w:ascii="Arial" w:hAnsi="Arial" w:cs="Arial"/>
                <w:b/>
                <w:sz w:val="18"/>
                <w:szCs w:val="18"/>
              </w:rPr>
            </w:pPr>
            <w:r w:rsidRPr="00F559B5">
              <w:rPr>
                <w:rFonts w:ascii="Arial" w:hAnsi="Arial" w:cs="Arial"/>
                <w:b/>
                <w:sz w:val="18"/>
                <w:szCs w:val="18"/>
              </w:rPr>
              <w:t>Element 2 – Act to resolve the problem/potential problem</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60" w:after="60"/>
              <w:ind w:left="397" w:hanging="397"/>
              <w:rPr>
                <w:rFonts w:ascii="Arial" w:hAnsi="Arial" w:cs="Arial"/>
                <w:sz w:val="18"/>
                <w:szCs w:val="18"/>
              </w:rPr>
            </w:pPr>
            <w:r w:rsidRPr="00F559B5">
              <w:rPr>
                <w:rFonts w:ascii="Arial" w:hAnsi="Arial" w:cs="Arial"/>
                <w:sz w:val="18"/>
                <w:szCs w:val="18"/>
              </w:rPr>
              <w:lastRenderedPageBreak/>
              <w:t>1</w:t>
            </w:r>
            <w:r w:rsidRPr="00F559B5">
              <w:rPr>
                <w:rFonts w:ascii="Arial" w:hAnsi="Arial" w:cs="Arial"/>
                <w:sz w:val="18"/>
                <w:szCs w:val="18"/>
              </w:rPr>
              <w:tab/>
              <w:t>Understands when to seek assistance or guidance.</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discuss the types of circumstances where assistance should be sought (e.g. impaired performance, suspected misconduct).</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60" w:after="60"/>
              <w:ind w:left="397" w:hanging="397"/>
              <w:rPr>
                <w:rFonts w:ascii="Arial" w:hAnsi="Arial" w:cs="Arial"/>
                <w:sz w:val="18"/>
                <w:szCs w:val="18"/>
              </w:rPr>
            </w:pPr>
            <w:r w:rsidRPr="00F559B5">
              <w:rPr>
                <w:rFonts w:ascii="Arial" w:hAnsi="Arial" w:cs="Arial"/>
                <w:sz w:val="18"/>
                <w:szCs w:val="18"/>
              </w:rPr>
              <w:t>2</w:t>
            </w:r>
            <w:r w:rsidRPr="00F559B5">
              <w:rPr>
                <w:rFonts w:ascii="Arial" w:hAnsi="Arial" w:cs="Arial"/>
                <w:sz w:val="18"/>
                <w:szCs w:val="18"/>
              </w:rPr>
              <w:tab/>
              <w:t>Uses a collaborative approach for addressing problems.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Demonstrated ability to identify individuals or groups whose input is essential for addressing the identified problem.</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engage the cooperation of relevant personnel to implement the plan for addressing the problem.</w:t>
            </w:r>
          </w:p>
          <w:p w:rsidR="00E10391" w:rsidRPr="00F559B5" w:rsidRDefault="00E10391" w:rsidP="00A11021">
            <w:pPr>
              <w:numPr>
                <w:ilvl w:val="0"/>
                <w:numId w:val="24"/>
              </w:numPr>
              <w:spacing w:before="40" w:after="40"/>
              <w:ind w:left="284"/>
              <w:rPr>
                <w:rFonts w:ascii="Arial" w:hAnsi="Arial" w:cs="Arial"/>
                <w:sz w:val="18"/>
                <w:szCs w:val="18"/>
              </w:rPr>
            </w:pPr>
            <w:r w:rsidRPr="00F559B5">
              <w:rPr>
                <w:rFonts w:ascii="Arial" w:hAnsi="Arial" w:cs="Arial"/>
                <w:sz w:val="18"/>
                <w:szCs w:val="18"/>
              </w:rPr>
              <w:t>Ability to encourage and accept input by others into problem</w:t>
            </w:r>
            <w:r w:rsidR="00054049">
              <w:rPr>
                <w:rFonts w:ascii="Arial" w:hAnsi="Arial" w:cs="Arial"/>
                <w:sz w:val="18"/>
                <w:szCs w:val="18"/>
              </w:rPr>
              <w:t>-</w:t>
            </w:r>
            <w:r w:rsidRPr="00F559B5">
              <w:rPr>
                <w:rFonts w:ascii="Arial" w:hAnsi="Arial" w:cs="Arial"/>
                <w:sz w:val="18"/>
                <w:szCs w:val="18"/>
              </w:rPr>
              <w:t>solving.</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60" w:after="60"/>
              <w:ind w:left="397" w:hanging="397"/>
              <w:rPr>
                <w:rFonts w:ascii="Arial" w:hAnsi="Arial" w:cs="Arial"/>
                <w:sz w:val="18"/>
                <w:szCs w:val="18"/>
              </w:rPr>
            </w:pPr>
            <w:r w:rsidRPr="00F559B5">
              <w:rPr>
                <w:rFonts w:ascii="Arial" w:hAnsi="Arial" w:cs="Arial"/>
                <w:sz w:val="18"/>
                <w:szCs w:val="18"/>
              </w:rPr>
              <w:t>3</w:t>
            </w:r>
            <w:r w:rsidRPr="00F559B5">
              <w:rPr>
                <w:rFonts w:ascii="Arial" w:hAnsi="Arial" w:cs="Arial"/>
                <w:sz w:val="18"/>
                <w:szCs w:val="18"/>
              </w:rPr>
              <w:tab/>
              <w:t>Uses initiative to formulate a plan for resolving an identified problem.</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a preferred approach for addressing the problem and justify the choice in terms of causes and intended or expected outcomes</w:t>
            </w:r>
            <w:r>
              <w:rPr>
                <w:rFonts w:ascii="Arial" w:hAnsi="Arial" w:cs="Arial"/>
                <w:sz w:val="18"/>
                <w:szCs w:val="18"/>
              </w:rPr>
              <w:t xml:space="preserve"> (e.g. </w:t>
            </w:r>
            <w:r w:rsidRPr="00EA4DF3">
              <w:rPr>
                <w:rFonts w:ascii="Arial" w:hAnsi="Arial" w:cs="Arial"/>
                <w:bCs/>
                <w:sz w:val="18"/>
                <w:szCs w:val="18"/>
                <w:lang w:val="en-AU"/>
              </w:rPr>
              <w:t>review of formulations either to improve products or in response to lack of availability of ingredients / changes in source of ingredients</w:t>
            </w:r>
            <w:r>
              <w:rPr>
                <w:rFonts w:ascii="Arial" w:hAnsi="Arial" w:cs="Arial"/>
                <w:bCs/>
                <w:sz w:val="18"/>
                <w:szCs w:val="18"/>
                <w:lang w:val="en-AU"/>
              </w:rPr>
              <w:t>).</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60" w:after="60"/>
              <w:ind w:left="397" w:hanging="397"/>
              <w:rPr>
                <w:rFonts w:ascii="Arial" w:hAnsi="Arial" w:cs="Arial"/>
                <w:sz w:val="18"/>
                <w:szCs w:val="18"/>
              </w:rPr>
            </w:pPr>
            <w:r w:rsidRPr="00F559B5">
              <w:rPr>
                <w:rFonts w:ascii="Arial" w:hAnsi="Arial" w:cs="Arial"/>
                <w:sz w:val="18"/>
                <w:szCs w:val="18"/>
              </w:rPr>
              <w:t>4</w:t>
            </w:r>
            <w:r w:rsidRPr="00F559B5">
              <w:rPr>
                <w:rFonts w:ascii="Arial" w:hAnsi="Arial" w:cs="Arial"/>
                <w:sz w:val="18"/>
                <w:szCs w:val="18"/>
              </w:rPr>
              <w:tab/>
              <w:t>Completes relevant documentation as required.</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Understands the types of problems requiring documentation (e.g. medication incidents, personnel disputes, injuries in the workplace).</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accurately complete required documentation.</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60" w:after="60"/>
              <w:ind w:left="397" w:hanging="397"/>
              <w:rPr>
                <w:rFonts w:ascii="Arial" w:hAnsi="Arial" w:cs="Arial"/>
                <w:sz w:val="18"/>
                <w:szCs w:val="18"/>
              </w:rPr>
            </w:pPr>
            <w:r w:rsidRPr="00F559B5">
              <w:rPr>
                <w:rFonts w:ascii="Arial" w:hAnsi="Arial" w:cs="Arial"/>
                <w:sz w:val="18"/>
                <w:szCs w:val="18"/>
              </w:rPr>
              <w:t>5</w:t>
            </w:r>
            <w:r w:rsidRPr="00F559B5">
              <w:rPr>
                <w:rFonts w:ascii="Arial" w:hAnsi="Arial" w:cs="Arial"/>
                <w:sz w:val="18"/>
                <w:szCs w:val="18"/>
              </w:rPr>
              <w:tab/>
              <w:t>Recognises the need for regular review of the results achieved to identify any further action(s) required.</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discuss the purpose of reviewing the results achieved (e.g. incomplete resolution, other problems created). </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demonstrate or describe how the results of review have been used to determine what further action, if any, is required.</w:t>
            </w:r>
          </w:p>
        </w:tc>
      </w:tr>
    </w:tbl>
    <w:p w:rsidR="00E10391" w:rsidRPr="00F559B5" w:rsidRDefault="00E10391" w:rsidP="00E10391">
      <w:pPr>
        <w:rPr>
          <w:rFonts w:ascii="Arial" w:hAnsi="Arial" w:cs="Arial"/>
          <w:b/>
          <w:sz w:val="18"/>
          <w:szCs w:val="18"/>
        </w:rPr>
      </w:pPr>
    </w:p>
    <w:p w:rsidR="00E10391" w:rsidRPr="00F559B5" w:rsidRDefault="00E10391" w:rsidP="00E10391">
      <w:pPr>
        <w:rPr>
          <w:rFonts w:ascii="Arial" w:hAnsi="Arial" w:cs="Arial"/>
          <w:b/>
          <w:sz w:val="18"/>
          <w:szCs w:val="18"/>
        </w:rPr>
      </w:pPr>
    </w:p>
    <w:p w:rsidR="00E10391" w:rsidRPr="00D80945" w:rsidRDefault="00E10391" w:rsidP="00E10391">
      <w:pPr>
        <w:pStyle w:val="Heading3"/>
        <w:rPr>
          <w:rFonts w:ascii="Arial" w:hAnsi="Arial" w:cs="Arial"/>
        </w:rPr>
      </w:pPr>
      <w:bookmarkStart w:id="15" w:name="_Toc377638237"/>
      <w:r w:rsidRPr="00D80945">
        <w:rPr>
          <w:rFonts w:ascii="Arial" w:hAnsi="Arial" w:cs="Arial"/>
          <w:color w:val="FF0000"/>
        </w:rPr>
        <w:t>Standard 2.3</w:t>
      </w:r>
      <w:r w:rsidRPr="00D80945">
        <w:rPr>
          <w:rFonts w:ascii="Arial" w:hAnsi="Arial" w:cs="Arial"/>
        </w:rPr>
        <w:t xml:space="preserve"> Collaborate with members of the health care team</w:t>
      </w:r>
      <w:bookmarkEnd w:id="15"/>
    </w:p>
    <w:p w:rsidR="00E10391" w:rsidRPr="00D275D1" w:rsidRDefault="00E10391" w:rsidP="00E10391">
      <w:pPr>
        <w:rPr>
          <w:rFonts w:ascii="Arial" w:hAnsi="Arial" w:cs="Arial"/>
          <w:b/>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237"/>
      </w:tblGrid>
      <w:tr w:rsidR="00E10391" w:rsidRPr="00F559B5" w:rsidTr="00A66271">
        <w:trPr>
          <w:cantSplit/>
          <w:tblHeader/>
        </w:trPr>
        <w:tc>
          <w:tcPr>
            <w:tcW w:w="3686" w:type="dxa"/>
            <w:shd w:val="clear" w:color="auto" w:fill="548DD4" w:themeFill="text2" w:themeFillTint="99"/>
          </w:tcPr>
          <w:p w:rsidR="00E10391" w:rsidRPr="00F559B5" w:rsidRDefault="00E10391" w:rsidP="00186360">
            <w:pPr>
              <w:spacing w:before="40" w:after="40"/>
              <w:ind w:left="567" w:hanging="567"/>
              <w:rPr>
                <w:rFonts w:ascii="Arial" w:hAnsi="Arial" w:cs="Arial"/>
                <w:b/>
                <w:sz w:val="18"/>
                <w:szCs w:val="18"/>
              </w:rPr>
            </w:pPr>
            <w:r w:rsidRPr="00F559B5">
              <w:rPr>
                <w:rFonts w:ascii="Arial" w:hAnsi="Arial" w:cs="Arial"/>
                <w:b/>
                <w:sz w:val="18"/>
                <w:szCs w:val="18"/>
              </w:rPr>
              <w:t xml:space="preserve">Performance </w:t>
            </w:r>
            <w:r w:rsidR="00186360">
              <w:rPr>
                <w:rFonts w:ascii="Arial" w:hAnsi="Arial" w:cs="Arial"/>
                <w:b/>
                <w:sz w:val="18"/>
                <w:szCs w:val="18"/>
              </w:rPr>
              <w:t>c</w:t>
            </w:r>
            <w:r w:rsidRPr="00F559B5">
              <w:rPr>
                <w:rFonts w:ascii="Arial" w:hAnsi="Arial" w:cs="Arial"/>
                <w:b/>
                <w:sz w:val="18"/>
                <w:szCs w:val="18"/>
              </w:rPr>
              <w:t>riteria</w:t>
            </w:r>
          </w:p>
        </w:tc>
        <w:tc>
          <w:tcPr>
            <w:tcW w:w="6237" w:type="dxa"/>
            <w:shd w:val="clear" w:color="auto" w:fill="548DD4" w:themeFill="text2" w:themeFillTint="99"/>
          </w:tcPr>
          <w:p w:rsidR="00E10391" w:rsidRPr="00F559B5" w:rsidRDefault="00E10391" w:rsidP="00186360">
            <w:pPr>
              <w:spacing w:before="40" w:after="40"/>
              <w:ind w:left="284" w:hanging="284"/>
              <w:rPr>
                <w:rFonts w:ascii="Arial" w:hAnsi="Arial" w:cs="Arial"/>
                <w:b/>
                <w:sz w:val="18"/>
                <w:szCs w:val="18"/>
              </w:rPr>
            </w:pPr>
            <w:r w:rsidRPr="00F559B5">
              <w:rPr>
                <w:rFonts w:ascii="Arial" w:hAnsi="Arial" w:cs="Arial"/>
                <w:b/>
                <w:sz w:val="18"/>
                <w:szCs w:val="18"/>
              </w:rPr>
              <w:t xml:space="preserve">Evidence </w:t>
            </w:r>
            <w:r w:rsidR="00186360">
              <w:rPr>
                <w:rFonts w:ascii="Arial" w:hAnsi="Arial" w:cs="Arial"/>
                <w:b/>
                <w:sz w:val="18"/>
                <w:szCs w:val="18"/>
              </w:rPr>
              <w:t>e</w:t>
            </w:r>
            <w:r w:rsidRPr="00F559B5">
              <w:rPr>
                <w:rFonts w:ascii="Arial" w:hAnsi="Arial" w:cs="Arial"/>
                <w:b/>
                <w:sz w:val="18"/>
                <w:szCs w:val="18"/>
              </w:rPr>
              <w:t>xamples</w:t>
            </w:r>
          </w:p>
        </w:tc>
      </w:tr>
      <w:tr w:rsidR="00E10391" w:rsidRPr="00F559B5" w:rsidTr="00A66271">
        <w:trPr>
          <w:cantSplit/>
        </w:trPr>
        <w:tc>
          <w:tcPr>
            <w:tcW w:w="9923" w:type="dxa"/>
            <w:gridSpan w:val="2"/>
            <w:shd w:val="clear" w:color="auto" w:fill="FABF8F" w:themeFill="accent6" w:themeFillTint="99"/>
          </w:tcPr>
          <w:p w:rsidR="00E10391" w:rsidRPr="00F559B5" w:rsidRDefault="00E10391" w:rsidP="00A66271">
            <w:pPr>
              <w:spacing w:before="40" w:after="40"/>
              <w:ind w:left="284" w:hanging="284"/>
              <w:rPr>
                <w:rFonts w:ascii="Arial" w:hAnsi="Arial" w:cs="Arial"/>
                <w:b/>
                <w:sz w:val="18"/>
                <w:szCs w:val="18"/>
              </w:rPr>
            </w:pPr>
            <w:r w:rsidRPr="00F559B5">
              <w:rPr>
                <w:rFonts w:ascii="Arial" w:hAnsi="Arial" w:cs="Arial"/>
                <w:b/>
                <w:sz w:val="18"/>
                <w:szCs w:val="18"/>
              </w:rPr>
              <w:t>Element 1 – Support team development and cohesion</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1</w:t>
            </w:r>
            <w:r w:rsidRPr="00F559B5">
              <w:rPr>
                <w:rFonts w:ascii="Arial" w:hAnsi="Arial" w:cs="Arial"/>
                <w:sz w:val="18"/>
                <w:szCs w:val="18"/>
              </w:rPr>
              <w:tab/>
              <w:t>Accepts the value of partnerships and teamwork to improve consumer care.</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demonstrate a positive attitude to working collaboratively with others.</w:t>
            </w:r>
          </w:p>
        </w:tc>
      </w:tr>
      <w:tr w:rsidR="00E10391" w:rsidRPr="00F559B5" w:rsidTr="00A66271">
        <w:trPr>
          <w:cantSplit/>
        </w:trPr>
        <w:tc>
          <w:tcPr>
            <w:tcW w:w="3686" w:type="dxa"/>
            <w:shd w:val="clear" w:color="auto" w:fill="DBE5F1" w:themeFill="accent1" w:themeFillTint="33"/>
          </w:tcPr>
          <w:p w:rsidR="00E10391" w:rsidRPr="00F559B5" w:rsidRDefault="00E10391" w:rsidP="00A11021">
            <w:pPr>
              <w:spacing w:before="40" w:after="40"/>
              <w:ind w:left="397" w:hanging="397"/>
              <w:rPr>
                <w:rFonts w:ascii="Arial" w:hAnsi="Arial" w:cs="Arial"/>
                <w:sz w:val="18"/>
                <w:szCs w:val="18"/>
              </w:rPr>
            </w:pPr>
            <w:r w:rsidRPr="00F559B5">
              <w:rPr>
                <w:rFonts w:ascii="Arial" w:hAnsi="Arial" w:cs="Arial"/>
                <w:sz w:val="18"/>
                <w:szCs w:val="18"/>
              </w:rPr>
              <w:t>2</w:t>
            </w:r>
            <w:r w:rsidRPr="00F559B5">
              <w:rPr>
                <w:rFonts w:ascii="Arial" w:hAnsi="Arial" w:cs="Arial"/>
                <w:sz w:val="18"/>
                <w:szCs w:val="18"/>
              </w:rPr>
              <w:tab/>
              <w:t>Engenders trust for the role of a pharmacist and cooperation from other team members.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maintain respect and confidence in the pharmacist’s contribution.</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provide feedback, encouragement and support to team members.</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3</w:t>
            </w:r>
            <w:r w:rsidRPr="00F559B5">
              <w:rPr>
                <w:rFonts w:ascii="Arial" w:hAnsi="Arial" w:cs="Arial"/>
                <w:sz w:val="18"/>
                <w:szCs w:val="18"/>
              </w:rPr>
              <w:tab/>
              <w:t>Understands the role, responsibilities and expertise of the pharmacist in relation to that of other members of the health care team.</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role and responsibilities in relation to a pharmacist’s expertise and the expectations of collaborating team members.</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4</w:t>
            </w:r>
            <w:r w:rsidRPr="00F559B5">
              <w:rPr>
                <w:rFonts w:ascii="Arial" w:hAnsi="Arial" w:cs="Arial"/>
                <w:sz w:val="18"/>
                <w:szCs w:val="18"/>
              </w:rPr>
              <w:tab/>
              <w:t>Recognises and respects the professional rights, skills and contributions of other team members.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describe the complementary roles and responsibilities of members of the health</w:t>
            </w:r>
            <w:r>
              <w:rPr>
                <w:rFonts w:ascii="Arial" w:hAnsi="Arial" w:cs="Arial"/>
                <w:sz w:val="18"/>
                <w:szCs w:val="18"/>
              </w:rPr>
              <w:t xml:space="preserve"> </w:t>
            </w:r>
            <w:r w:rsidRPr="00F559B5">
              <w:rPr>
                <w:rFonts w:ascii="Arial" w:hAnsi="Arial" w:cs="Arial"/>
                <w:sz w:val="18"/>
                <w:szCs w:val="18"/>
              </w:rPr>
              <w:t>care team.</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5</w:t>
            </w:r>
            <w:r w:rsidRPr="00F559B5">
              <w:rPr>
                <w:rFonts w:ascii="Arial" w:hAnsi="Arial" w:cs="Arial"/>
                <w:sz w:val="18"/>
                <w:szCs w:val="18"/>
              </w:rPr>
              <w:tab/>
              <w:t>Respects and preserves the relationships that other members of the health care team have with consumers.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discuss the role of other members of the health care team (including with consumers) in a way that engenders understanding and confidence in the team and its members.</w:t>
            </w:r>
          </w:p>
        </w:tc>
      </w:tr>
      <w:tr w:rsidR="00E10391" w:rsidRPr="00F559B5" w:rsidTr="00A66271">
        <w:trPr>
          <w:cantSplit/>
        </w:trPr>
        <w:tc>
          <w:tcPr>
            <w:tcW w:w="9923" w:type="dxa"/>
            <w:gridSpan w:val="2"/>
            <w:shd w:val="clear" w:color="auto" w:fill="FABF8F" w:themeFill="accent6" w:themeFillTint="99"/>
          </w:tcPr>
          <w:p w:rsidR="00E10391" w:rsidRPr="00F559B5" w:rsidRDefault="00E10391" w:rsidP="00A66271">
            <w:pPr>
              <w:keepNext/>
              <w:spacing w:before="40" w:after="40"/>
              <w:ind w:left="284" w:hanging="284"/>
              <w:rPr>
                <w:rFonts w:ascii="Arial" w:hAnsi="Arial" w:cs="Arial"/>
                <w:b/>
                <w:sz w:val="18"/>
                <w:szCs w:val="18"/>
              </w:rPr>
            </w:pPr>
            <w:r w:rsidRPr="00F559B5">
              <w:rPr>
                <w:rFonts w:ascii="Arial" w:hAnsi="Arial" w:cs="Arial"/>
                <w:b/>
                <w:sz w:val="18"/>
                <w:szCs w:val="18"/>
              </w:rPr>
              <w:t>Element 2 – Promote effective teamwork</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1</w:t>
            </w:r>
            <w:r w:rsidRPr="00F559B5">
              <w:rPr>
                <w:rFonts w:ascii="Arial" w:hAnsi="Arial" w:cs="Arial"/>
                <w:sz w:val="18"/>
                <w:szCs w:val="18"/>
              </w:rPr>
              <w:tab/>
              <w:t>Accepts responsibility for fulfilling the role expected of a pharmacist within the team.</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respond to the demands and expectations of </w:t>
            </w:r>
            <w:r>
              <w:rPr>
                <w:rFonts w:ascii="Arial" w:hAnsi="Arial" w:cs="Arial"/>
                <w:sz w:val="18"/>
                <w:szCs w:val="18"/>
              </w:rPr>
              <w:t xml:space="preserve">collaborative team </w:t>
            </w:r>
            <w:r w:rsidRPr="00F559B5">
              <w:rPr>
                <w:rFonts w:ascii="Arial" w:hAnsi="Arial" w:cs="Arial"/>
                <w:sz w:val="18"/>
                <w:szCs w:val="18"/>
              </w:rPr>
              <w:t>members.</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share information and expertise to facilitate a shared understanding.</w:t>
            </w:r>
          </w:p>
        </w:tc>
      </w:tr>
      <w:tr w:rsidR="00E10391" w:rsidRPr="00F559B5" w:rsidTr="00A66271">
        <w:trPr>
          <w:cantSplit/>
        </w:trPr>
        <w:tc>
          <w:tcPr>
            <w:tcW w:w="3686" w:type="dxa"/>
            <w:tcBorders>
              <w:bottom w:val="single" w:sz="4" w:space="0" w:color="auto"/>
            </w:tcBorders>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2</w:t>
            </w:r>
            <w:r w:rsidRPr="00F559B5">
              <w:rPr>
                <w:rFonts w:ascii="Arial" w:hAnsi="Arial" w:cs="Arial"/>
                <w:sz w:val="18"/>
                <w:szCs w:val="18"/>
              </w:rPr>
              <w:tab/>
              <w:t>Identifies opportunities for collaboration on common goals and interests.</w:t>
            </w:r>
          </w:p>
        </w:tc>
        <w:tc>
          <w:tcPr>
            <w:tcW w:w="6237" w:type="dxa"/>
            <w:tcBorders>
              <w:bottom w:val="single" w:sz="4" w:space="0" w:color="auto"/>
            </w:tcBorders>
            <w:shd w:val="clear" w:color="auto" w:fill="DBE5F1" w:themeFill="accent1" w:themeFillTint="33"/>
          </w:tcPr>
          <w:p w:rsidR="00E10391" w:rsidRPr="00F559B5" w:rsidRDefault="00E10391" w:rsidP="00A675A0">
            <w:pPr>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describe the types of issues that can be addressed within </w:t>
            </w:r>
            <w:r>
              <w:rPr>
                <w:rFonts w:ascii="Arial" w:hAnsi="Arial" w:cs="Arial"/>
                <w:sz w:val="18"/>
                <w:szCs w:val="18"/>
              </w:rPr>
              <w:t>a collaborative team</w:t>
            </w:r>
            <w:r w:rsidRPr="00F559B5">
              <w:rPr>
                <w:rFonts w:ascii="Arial" w:hAnsi="Arial" w:cs="Arial"/>
                <w:sz w:val="18"/>
                <w:szCs w:val="18"/>
              </w:rPr>
              <w:t xml:space="preserve"> (e.g. adherence, standard protocols and procedures, research).</w:t>
            </w:r>
          </w:p>
        </w:tc>
      </w:tr>
      <w:tr w:rsidR="00E10391" w:rsidRPr="00F559B5" w:rsidTr="00A66271">
        <w:trPr>
          <w:cantSplit/>
        </w:trPr>
        <w:tc>
          <w:tcPr>
            <w:tcW w:w="3686" w:type="dxa"/>
            <w:tcBorders>
              <w:bottom w:val="single" w:sz="4" w:space="0" w:color="auto"/>
            </w:tcBorders>
            <w:shd w:val="clear" w:color="auto" w:fill="DBE5F1" w:themeFill="accent1" w:themeFillTint="33"/>
          </w:tcPr>
          <w:p w:rsidR="00E10391" w:rsidRPr="00F559B5" w:rsidRDefault="00E10391" w:rsidP="002D6A3A">
            <w:pPr>
              <w:spacing w:before="40" w:after="40"/>
              <w:ind w:left="397" w:hanging="397"/>
              <w:rPr>
                <w:rFonts w:ascii="Arial" w:hAnsi="Arial" w:cs="Arial"/>
                <w:sz w:val="18"/>
                <w:szCs w:val="18"/>
              </w:rPr>
            </w:pPr>
            <w:r w:rsidRPr="00F559B5">
              <w:rPr>
                <w:rFonts w:ascii="Arial" w:hAnsi="Arial" w:cs="Arial"/>
                <w:sz w:val="18"/>
                <w:szCs w:val="18"/>
              </w:rPr>
              <w:t>3</w:t>
            </w:r>
            <w:r w:rsidRPr="00F559B5">
              <w:rPr>
                <w:rFonts w:ascii="Arial" w:hAnsi="Arial" w:cs="Arial"/>
                <w:sz w:val="18"/>
                <w:szCs w:val="18"/>
              </w:rPr>
              <w:tab/>
              <w:t>Shows leadership in responding to pharmaceutical or therapeutic issues.</w:t>
            </w:r>
          </w:p>
        </w:tc>
        <w:tc>
          <w:tcPr>
            <w:tcW w:w="6237" w:type="dxa"/>
            <w:tcBorders>
              <w:bottom w:val="single" w:sz="4" w:space="0" w:color="auto"/>
            </w:tcBorders>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demonstrate a proactive approach to responding to pharmaceutical or therapeutic issues that arise within the team.</w:t>
            </w:r>
          </w:p>
        </w:tc>
      </w:tr>
      <w:tr w:rsidR="00E10391" w:rsidRPr="00F559B5" w:rsidTr="00A66271">
        <w:trPr>
          <w:cantSplit/>
        </w:trPr>
        <w:tc>
          <w:tcPr>
            <w:tcW w:w="3686" w:type="dxa"/>
            <w:tcBorders>
              <w:bottom w:val="single" w:sz="4" w:space="0" w:color="auto"/>
            </w:tcBorders>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lastRenderedPageBreak/>
              <w:t>4</w:t>
            </w:r>
            <w:r w:rsidRPr="00F559B5">
              <w:rPr>
                <w:rFonts w:ascii="Arial" w:hAnsi="Arial" w:cs="Arial"/>
                <w:sz w:val="18"/>
                <w:szCs w:val="18"/>
              </w:rPr>
              <w:tab/>
              <w:t>Collaborates with other health care professionals to enable consumers to achieve the best health outcomes.</w:t>
            </w:r>
          </w:p>
        </w:tc>
        <w:tc>
          <w:tcPr>
            <w:tcW w:w="6237" w:type="dxa"/>
            <w:tcBorders>
              <w:bottom w:val="single" w:sz="4" w:space="0" w:color="auto"/>
            </w:tcBorders>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maintain rapport and work in partnership (share information with consumer consent, and work cooperatively on consumer health goals) with other professionals to achieve therapeutic goals.</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actively contribute a pharmacist’s perspective and make a positive contribution to team based problem-solving and decision making.</w:t>
            </w:r>
          </w:p>
        </w:tc>
      </w:tr>
      <w:tr w:rsidR="00E10391" w:rsidRPr="00F559B5" w:rsidTr="00A66271">
        <w:trPr>
          <w:cantSplit/>
        </w:trPr>
        <w:tc>
          <w:tcPr>
            <w:tcW w:w="3686" w:type="dxa"/>
            <w:tcBorders>
              <w:bottom w:val="single" w:sz="4" w:space="0" w:color="auto"/>
            </w:tcBorders>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5</w:t>
            </w:r>
            <w:r w:rsidRPr="00F559B5">
              <w:rPr>
                <w:rFonts w:ascii="Arial" w:hAnsi="Arial" w:cs="Arial"/>
                <w:sz w:val="18"/>
                <w:szCs w:val="18"/>
              </w:rPr>
              <w:tab/>
              <w:t>Participates in evaluations of team effectiveness.</w:t>
            </w:r>
          </w:p>
        </w:tc>
        <w:tc>
          <w:tcPr>
            <w:tcW w:w="6237" w:type="dxa"/>
            <w:tcBorders>
              <w:bottom w:val="single" w:sz="4" w:space="0" w:color="auto"/>
            </w:tcBorders>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ways in which the effectiveness of the team and the individuals within it can be assessed.</w:t>
            </w:r>
          </w:p>
        </w:tc>
      </w:tr>
      <w:tr w:rsidR="00E10391" w:rsidRPr="00F559B5" w:rsidTr="00A66271">
        <w:trPr>
          <w:cantSplit/>
        </w:trPr>
        <w:tc>
          <w:tcPr>
            <w:tcW w:w="9923" w:type="dxa"/>
            <w:gridSpan w:val="2"/>
            <w:shd w:val="clear" w:color="auto" w:fill="FABF8F" w:themeFill="accent6" w:themeFillTint="99"/>
          </w:tcPr>
          <w:p w:rsidR="00E10391" w:rsidRPr="00F559B5" w:rsidRDefault="00E10391" w:rsidP="00A66271">
            <w:pPr>
              <w:spacing w:before="40" w:after="40"/>
              <w:rPr>
                <w:rFonts w:ascii="Arial" w:hAnsi="Arial" w:cs="Arial"/>
                <w:b/>
                <w:strike/>
                <w:sz w:val="18"/>
                <w:szCs w:val="18"/>
              </w:rPr>
            </w:pPr>
            <w:r w:rsidRPr="00F559B5">
              <w:rPr>
                <w:rFonts w:ascii="Arial" w:hAnsi="Arial" w:cs="Arial"/>
                <w:b/>
                <w:sz w:val="18"/>
                <w:szCs w:val="18"/>
              </w:rPr>
              <w:t>Element 3 – Maintain an effective professional role</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1</w:t>
            </w:r>
            <w:r w:rsidRPr="00F559B5">
              <w:rPr>
                <w:rFonts w:ascii="Arial" w:hAnsi="Arial" w:cs="Arial"/>
                <w:sz w:val="18"/>
                <w:szCs w:val="18"/>
              </w:rPr>
              <w:tab/>
              <w:t>Ensures that the pharmacist’s professional rights and values are not compromised.</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requests of colleagues that might be regarded as unreasonable</w:t>
            </w:r>
            <w:r>
              <w:rPr>
                <w:rFonts w:ascii="Arial" w:hAnsi="Arial" w:cs="Arial"/>
                <w:sz w:val="18"/>
                <w:szCs w:val="18"/>
              </w:rPr>
              <w:t xml:space="preserve"> in the context of providing safe, effective and defensible complex compounding services</w:t>
            </w:r>
            <w:r w:rsidRPr="00F559B5">
              <w:rPr>
                <w:rFonts w:ascii="Arial" w:hAnsi="Arial" w:cs="Arial"/>
                <w:sz w:val="18"/>
                <w:szCs w:val="18"/>
              </w:rPr>
              <w:t>.</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apply assertiveness skills to deal with unreasonable requests and/or refusals that would compromise practice or consumer care.</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2</w:t>
            </w:r>
            <w:r w:rsidRPr="00F559B5">
              <w:rPr>
                <w:rFonts w:ascii="Arial" w:hAnsi="Arial" w:cs="Arial"/>
                <w:sz w:val="18"/>
                <w:szCs w:val="18"/>
              </w:rPr>
              <w:tab/>
              <w:t>Upholds professional practice standards and conventions within the team.</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provide clear, concise and confident explanation and/or justification of a position.</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initiate discussion on possible alternate courses of action to achieve a desired outcome.</w:t>
            </w:r>
          </w:p>
        </w:tc>
      </w:tr>
    </w:tbl>
    <w:p w:rsidR="00E10391" w:rsidRDefault="00E10391" w:rsidP="00E10391">
      <w:pPr>
        <w:pStyle w:val="Header"/>
        <w:rPr>
          <w:rFonts w:ascii="Arial" w:hAnsi="Arial" w:cs="Arial"/>
          <w:sz w:val="18"/>
          <w:szCs w:val="18"/>
        </w:rPr>
      </w:pPr>
    </w:p>
    <w:p w:rsidR="00E10391" w:rsidRDefault="00E10391" w:rsidP="00E10391">
      <w:pPr>
        <w:pStyle w:val="Header"/>
        <w:rPr>
          <w:rFonts w:ascii="Arial" w:hAnsi="Arial" w:cs="Arial"/>
          <w:sz w:val="18"/>
          <w:szCs w:val="18"/>
        </w:rPr>
      </w:pPr>
    </w:p>
    <w:p w:rsidR="00E10391" w:rsidRPr="00F559B5" w:rsidRDefault="00E10391" w:rsidP="00E10391">
      <w:pPr>
        <w:pStyle w:val="Header"/>
        <w:rPr>
          <w:rFonts w:ascii="Arial" w:hAnsi="Arial" w:cs="Arial"/>
          <w:sz w:val="18"/>
          <w:szCs w:val="18"/>
        </w:rPr>
      </w:pPr>
    </w:p>
    <w:p w:rsidR="00E10391" w:rsidRPr="00D80945" w:rsidRDefault="00E10391" w:rsidP="00E10391">
      <w:pPr>
        <w:pStyle w:val="Heading3"/>
        <w:rPr>
          <w:rFonts w:ascii="Arial" w:hAnsi="Arial" w:cs="Arial"/>
        </w:rPr>
      </w:pPr>
      <w:bookmarkStart w:id="16" w:name="_Toc377638238"/>
      <w:r w:rsidRPr="00D80945">
        <w:rPr>
          <w:rFonts w:ascii="Arial" w:hAnsi="Arial" w:cs="Arial"/>
          <w:color w:val="FF0000"/>
        </w:rPr>
        <w:t>Standard 2.4</w:t>
      </w:r>
      <w:r w:rsidRPr="00D80945">
        <w:rPr>
          <w:rFonts w:ascii="Arial" w:hAnsi="Arial" w:cs="Arial"/>
        </w:rPr>
        <w:t xml:space="preserve"> Manage conflict</w:t>
      </w:r>
      <w:bookmarkEnd w:id="16"/>
    </w:p>
    <w:p w:rsidR="00E10391" w:rsidRDefault="00E10391" w:rsidP="00E10391">
      <w:pPr>
        <w:rPr>
          <w:rFonts w:ascii="Arial" w:hAnsi="Arial" w:cs="Arial"/>
          <w:sz w:val="18"/>
          <w:szCs w:val="1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237"/>
      </w:tblGrid>
      <w:tr w:rsidR="00E10391" w:rsidRPr="00F559B5" w:rsidTr="00A66271">
        <w:trPr>
          <w:cantSplit/>
          <w:tblHeader/>
        </w:trPr>
        <w:tc>
          <w:tcPr>
            <w:tcW w:w="3686" w:type="dxa"/>
            <w:tcBorders>
              <w:bottom w:val="single" w:sz="4" w:space="0" w:color="auto"/>
            </w:tcBorders>
            <w:shd w:val="clear" w:color="auto" w:fill="548DD4" w:themeFill="text2" w:themeFillTint="99"/>
          </w:tcPr>
          <w:p w:rsidR="00E10391" w:rsidRPr="00F559B5" w:rsidRDefault="00E10391" w:rsidP="005C0B2C">
            <w:pPr>
              <w:keepNext/>
              <w:spacing w:before="40" w:after="40"/>
              <w:ind w:left="567" w:hanging="567"/>
              <w:rPr>
                <w:rFonts w:ascii="Arial" w:hAnsi="Arial" w:cs="Arial"/>
                <w:b/>
                <w:sz w:val="18"/>
                <w:szCs w:val="18"/>
              </w:rPr>
            </w:pPr>
            <w:r w:rsidRPr="00F559B5">
              <w:rPr>
                <w:rFonts w:ascii="Arial" w:hAnsi="Arial" w:cs="Arial"/>
                <w:b/>
                <w:sz w:val="18"/>
                <w:szCs w:val="18"/>
              </w:rPr>
              <w:t xml:space="preserve">Performance </w:t>
            </w:r>
            <w:r w:rsidR="005C0B2C">
              <w:rPr>
                <w:rFonts w:ascii="Arial" w:hAnsi="Arial" w:cs="Arial"/>
                <w:b/>
                <w:sz w:val="18"/>
                <w:szCs w:val="18"/>
              </w:rPr>
              <w:t>c</w:t>
            </w:r>
            <w:r w:rsidRPr="00F559B5">
              <w:rPr>
                <w:rFonts w:ascii="Arial" w:hAnsi="Arial" w:cs="Arial"/>
                <w:b/>
                <w:sz w:val="18"/>
                <w:szCs w:val="18"/>
              </w:rPr>
              <w:t>riteria</w:t>
            </w:r>
          </w:p>
        </w:tc>
        <w:tc>
          <w:tcPr>
            <w:tcW w:w="6237" w:type="dxa"/>
            <w:tcBorders>
              <w:bottom w:val="single" w:sz="4" w:space="0" w:color="auto"/>
            </w:tcBorders>
            <w:shd w:val="clear" w:color="auto" w:fill="548DD4" w:themeFill="text2" w:themeFillTint="99"/>
          </w:tcPr>
          <w:p w:rsidR="00E10391" w:rsidRPr="00F559B5" w:rsidRDefault="00E10391" w:rsidP="005C0B2C">
            <w:pPr>
              <w:keepNext/>
              <w:spacing w:before="40" w:after="40"/>
              <w:ind w:left="284" w:hanging="284"/>
              <w:rPr>
                <w:rFonts w:ascii="Arial" w:hAnsi="Arial" w:cs="Arial"/>
                <w:b/>
                <w:sz w:val="18"/>
                <w:szCs w:val="18"/>
              </w:rPr>
            </w:pPr>
            <w:r w:rsidRPr="00F559B5">
              <w:rPr>
                <w:rFonts w:ascii="Arial" w:hAnsi="Arial" w:cs="Arial"/>
                <w:b/>
                <w:sz w:val="18"/>
                <w:szCs w:val="18"/>
              </w:rPr>
              <w:t xml:space="preserve">Evidence </w:t>
            </w:r>
            <w:r w:rsidR="005C0B2C">
              <w:rPr>
                <w:rFonts w:ascii="Arial" w:hAnsi="Arial" w:cs="Arial"/>
                <w:b/>
                <w:sz w:val="18"/>
                <w:szCs w:val="18"/>
              </w:rPr>
              <w:t>e</w:t>
            </w:r>
            <w:r w:rsidRPr="00F559B5">
              <w:rPr>
                <w:rFonts w:ascii="Arial" w:hAnsi="Arial" w:cs="Arial"/>
                <w:b/>
                <w:sz w:val="18"/>
                <w:szCs w:val="18"/>
              </w:rPr>
              <w:t>xamples</w:t>
            </w:r>
          </w:p>
        </w:tc>
      </w:tr>
      <w:tr w:rsidR="00E10391" w:rsidRPr="00F559B5" w:rsidTr="00A66271">
        <w:trPr>
          <w:cantSplit/>
        </w:trPr>
        <w:tc>
          <w:tcPr>
            <w:tcW w:w="9923" w:type="dxa"/>
            <w:gridSpan w:val="2"/>
            <w:tcBorders>
              <w:bottom w:val="single" w:sz="4" w:space="0" w:color="auto"/>
            </w:tcBorders>
            <w:shd w:val="clear" w:color="auto" w:fill="FABF8F" w:themeFill="accent6" w:themeFillTint="99"/>
          </w:tcPr>
          <w:p w:rsidR="00E10391" w:rsidRPr="00F559B5" w:rsidRDefault="00E10391" w:rsidP="00A66271">
            <w:pPr>
              <w:spacing w:before="40" w:after="40"/>
              <w:ind w:left="284" w:hanging="284"/>
              <w:rPr>
                <w:rFonts w:ascii="Arial" w:hAnsi="Arial" w:cs="Arial"/>
                <w:b/>
                <w:sz w:val="18"/>
                <w:szCs w:val="18"/>
              </w:rPr>
            </w:pPr>
            <w:r w:rsidRPr="00F559B5">
              <w:rPr>
                <w:rFonts w:ascii="Arial" w:hAnsi="Arial" w:cs="Arial"/>
                <w:b/>
                <w:sz w:val="18"/>
                <w:szCs w:val="18"/>
              </w:rPr>
              <w:t xml:space="preserve">Element 1 – Understand the importance of preventing and managing conflict </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1</w:t>
            </w:r>
            <w:r w:rsidRPr="00F559B5">
              <w:rPr>
                <w:rFonts w:ascii="Arial" w:hAnsi="Arial" w:cs="Arial"/>
                <w:sz w:val="18"/>
                <w:szCs w:val="18"/>
              </w:rPr>
              <w:tab/>
              <w:t>Understands the need to maintain productive professional relationships and a constructive work environment.</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identify the means by which rapport and/or cooperation is maintained.</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the means by which responses to input to the work environment are monitored.</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2</w:t>
            </w:r>
            <w:r w:rsidRPr="00F559B5">
              <w:rPr>
                <w:rFonts w:ascii="Arial" w:hAnsi="Arial" w:cs="Arial"/>
                <w:sz w:val="18"/>
                <w:szCs w:val="18"/>
              </w:rPr>
              <w:tab/>
              <w:t>Understands the need to act promptly to prevent conflict arising.</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describe situations where prompt action can prevent the development of conflict (e.g. </w:t>
            </w:r>
            <w:r>
              <w:rPr>
                <w:rFonts w:ascii="Arial" w:hAnsi="Arial" w:cs="Arial"/>
                <w:sz w:val="18"/>
                <w:szCs w:val="18"/>
              </w:rPr>
              <w:t>inability to provide a requested product</w:t>
            </w:r>
            <w:r w:rsidRPr="00F559B5">
              <w:rPr>
                <w:rFonts w:ascii="Arial" w:hAnsi="Arial" w:cs="Arial"/>
                <w:sz w:val="18"/>
                <w:szCs w:val="18"/>
              </w:rPr>
              <w:t xml:space="preserve">, timeliness of </w:t>
            </w:r>
            <w:r>
              <w:rPr>
                <w:rFonts w:ascii="Arial" w:hAnsi="Arial" w:cs="Arial"/>
                <w:sz w:val="18"/>
                <w:szCs w:val="18"/>
              </w:rPr>
              <w:t xml:space="preserve">product or </w:t>
            </w:r>
            <w:r w:rsidRPr="00F559B5">
              <w:rPr>
                <w:rFonts w:ascii="Arial" w:hAnsi="Arial" w:cs="Arial"/>
                <w:sz w:val="18"/>
                <w:szCs w:val="18"/>
              </w:rPr>
              <w:t>service</w:t>
            </w:r>
            <w:r>
              <w:rPr>
                <w:rFonts w:ascii="Arial" w:hAnsi="Arial" w:cs="Arial"/>
                <w:sz w:val="18"/>
                <w:szCs w:val="18"/>
              </w:rPr>
              <w:t xml:space="preserve"> delivery</w:t>
            </w:r>
            <w:r w:rsidRPr="00F559B5">
              <w:rPr>
                <w:rFonts w:ascii="Arial" w:hAnsi="Arial" w:cs="Arial"/>
                <w:sz w:val="18"/>
                <w:szCs w:val="18"/>
              </w:rPr>
              <w:t>).</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3</w:t>
            </w:r>
            <w:r w:rsidRPr="00F559B5">
              <w:rPr>
                <w:rFonts w:ascii="Arial" w:hAnsi="Arial" w:cs="Arial"/>
                <w:sz w:val="18"/>
                <w:szCs w:val="18"/>
              </w:rPr>
              <w:tab/>
              <w:t>Understands the need to address conflict in a timely manner.</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the impact of conflict in the workplace (e.g. tension, low morale, absenteeism, system or service failure, and aggressive or uncooperative behaviours).</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4</w:t>
            </w:r>
            <w:r w:rsidRPr="00F559B5">
              <w:rPr>
                <w:rFonts w:ascii="Arial" w:hAnsi="Arial" w:cs="Arial"/>
                <w:sz w:val="18"/>
                <w:szCs w:val="18"/>
              </w:rPr>
              <w:tab/>
              <w:t>Understands the need to work in an impartial and fair manner.</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the importance of adopting a ‘no blame’ approach to understanding conflict in the workplace.</w:t>
            </w:r>
          </w:p>
        </w:tc>
      </w:tr>
      <w:tr w:rsidR="00E10391" w:rsidRPr="00F559B5" w:rsidTr="00A66271">
        <w:trPr>
          <w:cantSplit/>
        </w:trPr>
        <w:tc>
          <w:tcPr>
            <w:tcW w:w="9923" w:type="dxa"/>
            <w:gridSpan w:val="2"/>
            <w:shd w:val="clear" w:color="auto" w:fill="FABF8F" w:themeFill="accent6" w:themeFillTint="99"/>
          </w:tcPr>
          <w:p w:rsidR="00E10391" w:rsidRPr="00F559B5" w:rsidRDefault="00E10391" w:rsidP="00A66271">
            <w:pPr>
              <w:spacing w:before="40" w:after="40"/>
              <w:rPr>
                <w:rFonts w:ascii="Arial" w:hAnsi="Arial" w:cs="Arial"/>
                <w:b/>
                <w:sz w:val="18"/>
                <w:szCs w:val="18"/>
              </w:rPr>
            </w:pPr>
            <w:r w:rsidRPr="00F559B5">
              <w:rPr>
                <w:rFonts w:ascii="Arial" w:hAnsi="Arial" w:cs="Arial"/>
                <w:b/>
                <w:sz w:val="18"/>
                <w:szCs w:val="18"/>
              </w:rPr>
              <w:t>Element 2 – Clarify the nature of the conflict</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1</w:t>
            </w:r>
            <w:r w:rsidRPr="00F559B5">
              <w:rPr>
                <w:rFonts w:ascii="Arial" w:hAnsi="Arial" w:cs="Arial"/>
                <w:sz w:val="18"/>
                <w:szCs w:val="18"/>
              </w:rPr>
              <w:tab/>
              <w:t>Understands when to seek assistance or guidance.</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discuss circumstances where assistance should be sought (e.g. claimed bullying or discrimination).</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2</w:t>
            </w:r>
            <w:r w:rsidRPr="00F559B5">
              <w:rPr>
                <w:rFonts w:ascii="Arial" w:hAnsi="Arial" w:cs="Arial"/>
                <w:sz w:val="18"/>
                <w:szCs w:val="18"/>
              </w:rPr>
              <w:tab/>
              <w:t>Works with colleagues to gather information relevant to identifying the source(s) and/or nature of the conflict.</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undertake enquiry in a sensitive and non-confrontational manner.</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identify the key issues and key participants in the conflict.</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3</w:t>
            </w:r>
            <w:r w:rsidRPr="00F559B5">
              <w:rPr>
                <w:rFonts w:ascii="Arial" w:hAnsi="Arial" w:cs="Arial"/>
                <w:sz w:val="18"/>
                <w:szCs w:val="18"/>
              </w:rPr>
              <w:tab/>
              <w:t>Understands the need to work in an objective manner when gathering information.</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the nature and source(s) of the conflict without apportioning blame.</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4</w:t>
            </w:r>
            <w:r w:rsidRPr="00F559B5">
              <w:rPr>
                <w:rFonts w:ascii="Arial" w:hAnsi="Arial" w:cs="Arial"/>
                <w:sz w:val="18"/>
                <w:szCs w:val="18"/>
              </w:rPr>
              <w:tab/>
              <w:t>Applies analytical skills to identify a range of approaches that might be used for resolving conflict.</w:t>
            </w:r>
          </w:p>
        </w:tc>
        <w:tc>
          <w:tcPr>
            <w:tcW w:w="6237" w:type="dxa"/>
            <w:shd w:val="clear" w:color="auto" w:fill="DBE5F1" w:themeFill="accent1" w:themeFillTint="33"/>
          </w:tcPr>
          <w:p w:rsidR="00E10391" w:rsidRPr="00F559B5" w:rsidRDefault="00E10391" w:rsidP="005C0B2C">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a range of possible approaches/strategies that are effective for resolving conflict in the workplace (e.g. negotiation, collaborative problem</w:t>
            </w:r>
            <w:r w:rsidR="00054049">
              <w:rPr>
                <w:rFonts w:ascii="Arial" w:hAnsi="Arial" w:cs="Arial"/>
                <w:sz w:val="18"/>
                <w:szCs w:val="18"/>
              </w:rPr>
              <w:t>-</w:t>
            </w:r>
            <w:r w:rsidRPr="00F559B5">
              <w:rPr>
                <w:rFonts w:ascii="Arial" w:hAnsi="Arial" w:cs="Arial"/>
                <w:sz w:val="18"/>
                <w:szCs w:val="18"/>
              </w:rPr>
              <w:t>solving, mediation, arbitration).</w:t>
            </w:r>
          </w:p>
        </w:tc>
      </w:tr>
      <w:tr w:rsidR="00E10391" w:rsidRPr="00F559B5" w:rsidTr="00A66271">
        <w:trPr>
          <w:cantSplit/>
        </w:trPr>
        <w:tc>
          <w:tcPr>
            <w:tcW w:w="3686" w:type="dxa"/>
            <w:shd w:val="clear" w:color="auto" w:fill="DBE5F1" w:themeFill="accent1" w:themeFillTint="33"/>
          </w:tcPr>
          <w:p w:rsidR="00E10391" w:rsidRPr="00F559B5" w:rsidRDefault="00E10391" w:rsidP="005C0B2C">
            <w:pPr>
              <w:spacing w:before="40" w:after="40"/>
              <w:ind w:left="397" w:hanging="397"/>
              <w:rPr>
                <w:rFonts w:ascii="Arial" w:hAnsi="Arial" w:cs="Arial"/>
                <w:sz w:val="18"/>
                <w:szCs w:val="18"/>
              </w:rPr>
            </w:pPr>
            <w:r w:rsidRPr="00F559B5">
              <w:rPr>
                <w:rFonts w:ascii="Arial" w:hAnsi="Arial" w:cs="Arial"/>
                <w:sz w:val="18"/>
                <w:szCs w:val="18"/>
              </w:rPr>
              <w:t>5</w:t>
            </w:r>
            <w:r w:rsidRPr="00F559B5">
              <w:rPr>
                <w:rFonts w:ascii="Arial" w:hAnsi="Arial" w:cs="Arial"/>
                <w:sz w:val="18"/>
                <w:szCs w:val="18"/>
              </w:rPr>
              <w:tab/>
              <w:t>Identifies situations where onward referral is warranted.</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situations where referral is warranted (e.g. severe emotional distress, intractable dispute).</w:t>
            </w:r>
          </w:p>
        </w:tc>
      </w:tr>
      <w:tr w:rsidR="00E10391" w:rsidRPr="00F559B5" w:rsidTr="00A66271">
        <w:trPr>
          <w:cantSplit/>
        </w:trPr>
        <w:tc>
          <w:tcPr>
            <w:tcW w:w="9923" w:type="dxa"/>
            <w:gridSpan w:val="2"/>
            <w:tcBorders>
              <w:bottom w:val="single" w:sz="4" w:space="0" w:color="auto"/>
            </w:tcBorders>
            <w:shd w:val="clear" w:color="auto" w:fill="FABF8F" w:themeFill="accent6" w:themeFillTint="99"/>
          </w:tcPr>
          <w:p w:rsidR="00E10391" w:rsidRPr="00F559B5" w:rsidRDefault="00E10391" w:rsidP="00A66271">
            <w:pPr>
              <w:spacing w:before="40" w:after="40"/>
              <w:ind w:left="284" w:hanging="284"/>
              <w:rPr>
                <w:rFonts w:ascii="Arial" w:hAnsi="Arial" w:cs="Arial"/>
                <w:b/>
                <w:sz w:val="18"/>
                <w:szCs w:val="18"/>
              </w:rPr>
            </w:pPr>
            <w:r w:rsidRPr="00F559B5">
              <w:rPr>
                <w:rFonts w:ascii="Arial" w:hAnsi="Arial" w:cs="Arial"/>
                <w:b/>
                <w:sz w:val="18"/>
                <w:szCs w:val="18"/>
              </w:rPr>
              <w:lastRenderedPageBreak/>
              <w:t>Element 3 – Act to address conflict</w:t>
            </w:r>
          </w:p>
        </w:tc>
      </w:tr>
      <w:tr w:rsidR="00E10391" w:rsidRPr="00F559B5" w:rsidTr="00A66271">
        <w:trPr>
          <w:cantSplit/>
          <w:trHeight w:val="681"/>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1</w:t>
            </w:r>
            <w:r w:rsidRPr="00F559B5">
              <w:rPr>
                <w:rFonts w:ascii="Arial" w:hAnsi="Arial" w:cs="Arial"/>
                <w:sz w:val="18"/>
                <w:szCs w:val="18"/>
              </w:rPr>
              <w:tab/>
              <w:t>Works with colleagues to identify and agree a preferred approach.</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explain and justify the preferred method for resolving the conflict. </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discuss preferred method (and other options if necessary) with those involved in the conflict.</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2</w:t>
            </w:r>
            <w:r w:rsidRPr="00F559B5">
              <w:rPr>
                <w:rFonts w:ascii="Arial" w:hAnsi="Arial" w:cs="Arial"/>
                <w:sz w:val="18"/>
                <w:szCs w:val="18"/>
              </w:rPr>
              <w:tab/>
              <w:t>Initiates onward referral as required.</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identify and access contact details for relevant support services (e.g. counselling and mediation services, human resources </w:t>
            </w:r>
            <w:r>
              <w:rPr>
                <w:rFonts w:ascii="Arial" w:hAnsi="Arial" w:cs="Arial"/>
                <w:sz w:val="18"/>
                <w:szCs w:val="18"/>
              </w:rPr>
              <w:t>expert</w:t>
            </w:r>
            <w:r w:rsidRPr="00F559B5">
              <w:rPr>
                <w:rFonts w:ascii="Arial" w:hAnsi="Arial" w:cs="Arial"/>
                <w:sz w:val="18"/>
                <w:szCs w:val="18"/>
              </w:rPr>
              <w:t>).</w:t>
            </w:r>
          </w:p>
        </w:tc>
      </w:tr>
      <w:tr w:rsidR="00E10391" w:rsidRPr="00F559B5" w:rsidTr="00A66271">
        <w:trPr>
          <w:cantSplit/>
        </w:trPr>
        <w:tc>
          <w:tcPr>
            <w:tcW w:w="3686" w:type="dxa"/>
            <w:tcBorders>
              <w:bottom w:val="single" w:sz="4" w:space="0" w:color="auto"/>
            </w:tcBorders>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3</w:t>
            </w:r>
            <w:r w:rsidRPr="00F559B5">
              <w:rPr>
                <w:rFonts w:ascii="Arial" w:hAnsi="Arial" w:cs="Arial"/>
                <w:sz w:val="18"/>
                <w:szCs w:val="18"/>
              </w:rPr>
              <w:tab/>
              <w:t>Adopts a collaborative approach to reviewing the impact of actions taken to identify any further action required.</w:t>
            </w:r>
          </w:p>
        </w:tc>
        <w:tc>
          <w:tcPr>
            <w:tcW w:w="6237" w:type="dxa"/>
            <w:tcBorders>
              <w:bottom w:val="single" w:sz="4" w:space="0" w:color="auto"/>
            </w:tcBorders>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the means by which the success of the approach taken will be assessed.</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discuss how those involved in the conflict will be engaged in the assessment and follow-up process.</w:t>
            </w:r>
          </w:p>
        </w:tc>
      </w:tr>
    </w:tbl>
    <w:p w:rsidR="00E10391" w:rsidRPr="00F559B5" w:rsidRDefault="00E10391" w:rsidP="00E10391">
      <w:pPr>
        <w:rPr>
          <w:rFonts w:ascii="Arial" w:hAnsi="Arial" w:cs="Arial"/>
          <w:sz w:val="18"/>
          <w:szCs w:val="18"/>
        </w:rPr>
      </w:pPr>
    </w:p>
    <w:p w:rsidR="00E10391" w:rsidRPr="00D80945" w:rsidRDefault="00E10391" w:rsidP="00E10391">
      <w:pPr>
        <w:pStyle w:val="Heading3"/>
        <w:rPr>
          <w:rFonts w:ascii="Arial" w:hAnsi="Arial" w:cs="Arial"/>
          <w:strike/>
        </w:rPr>
      </w:pPr>
      <w:bookmarkStart w:id="17" w:name="_Toc377638239"/>
      <w:r w:rsidRPr="00D80945">
        <w:rPr>
          <w:rFonts w:ascii="Arial" w:hAnsi="Arial" w:cs="Arial"/>
          <w:color w:val="FF0000"/>
        </w:rPr>
        <w:t>Standard 2.5</w:t>
      </w:r>
      <w:r w:rsidRPr="00D80945">
        <w:rPr>
          <w:rFonts w:ascii="Arial" w:hAnsi="Arial" w:cs="Arial"/>
        </w:rPr>
        <w:t xml:space="preserve"> Commitment to work and the workplace</w:t>
      </w:r>
      <w:bookmarkEnd w:id="17"/>
    </w:p>
    <w:p w:rsidR="00E10391" w:rsidRPr="00F559B5" w:rsidRDefault="00E10391" w:rsidP="00E10391">
      <w:pPr>
        <w:rPr>
          <w:rFonts w:ascii="Arial" w:hAnsi="Arial" w:cs="Arial"/>
          <w:sz w:val="18"/>
          <w:szCs w:val="1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237"/>
      </w:tblGrid>
      <w:tr w:rsidR="00E10391" w:rsidRPr="00F559B5" w:rsidTr="00A66271">
        <w:trPr>
          <w:cantSplit/>
          <w:tblHeader/>
        </w:trPr>
        <w:tc>
          <w:tcPr>
            <w:tcW w:w="3686" w:type="dxa"/>
            <w:tcBorders>
              <w:bottom w:val="single" w:sz="4" w:space="0" w:color="auto"/>
            </w:tcBorders>
            <w:shd w:val="clear" w:color="auto" w:fill="548DD4" w:themeFill="text2" w:themeFillTint="99"/>
          </w:tcPr>
          <w:p w:rsidR="00E10391" w:rsidRPr="00F559B5" w:rsidRDefault="00E10391" w:rsidP="00186360">
            <w:pPr>
              <w:keepNext/>
              <w:spacing w:before="40" w:after="40"/>
              <w:ind w:left="567" w:hanging="567"/>
              <w:rPr>
                <w:rFonts w:ascii="Arial" w:hAnsi="Arial" w:cs="Arial"/>
                <w:b/>
                <w:sz w:val="18"/>
                <w:szCs w:val="18"/>
              </w:rPr>
            </w:pPr>
            <w:r w:rsidRPr="00F559B5">
              <w:rPr>
                <w:rFonts w:ascii="Arial" w:hAnsi="Arial" w:cs="Arial"/>
                <w:b/>
                <w:sz w:val="18"/>
                <w:szCs w:val="18"/>
              </w:rPr>
              <w:t xml:space="preserve">Performance </w:t>
            </w:r>
            <w:r w:rsidR="00186360">
              <w:rPr>
                <w:rFonts w:ascii="Arial" w:hAnsi="Arial" w:cs="Arial"/>
                <w:b/>
                <w:sz w:val="18"/>
                <w:szCs w:val="18"/>
              </w:rPr>
              <w:t>c</w:t>
            </w:r>
            <w:r w:rsidRPr="00F559B5">
              <w:rPr>
                <w:rFonts w:ascii="Arial" w:hAnsi="Arial" w:cs="Arial"/>
                <w:b/>
                <w:sz w:val="18"/>
                <w:szCs w:val="18"/>
              </w:rPr>
              <w:t>riteria</w:t>
            </w:r>
          </w:p>
        </w:tc>
        <w:tc>
          <w:tcPr>
            <w:tcW w:w="6237" w:type="dxa"/>
            <w:tcBorders>
              <w:bottom w:val="single" w:sz="4" w:space="0" w:color="auto"/>
            </w:tcBorders>
            <w:shd w:val="clear" w:color="auto" w:fill="548DD4" w:themeFill="text2" w:themeFillTint="99"/>
          </w:tcPr>
          <w:p w:rsidR="00E10391" w:rsidRPr="00F559B5" w:rsidRDefault="00E10391" w:rsidP="00186360">
            <w:pPr>
              <w:keepNext/>
              <w:spacing w:before="40" w:after="40"/>
              <w:ind w:left="284" w:hanging="284"/>
              <w:rPr>
                <w:rFonts w:ascii="Arial" w:hAnsi="Arial" w:cs="Arial"/>
                <w:b/>
                <w:sz w:val="18"/>
                <w:szCs w:val="18"/>
              </w:rPr>
            </w:pPr>
            <w:r w:rsidRPr="00F559B5">
              <w:rPr>
                <w:rFonts w:ascii="Arial" w:hAnsi="Arial" w:cs="Arial"/>
                <w:b/>
                <w:sz w:val="18"/>
                <w:szCs w:val="18"/>
              </w:rPr>
              <w:t xml:space="preserve">Evidence </w:t>
            </w:r>
            <w:r w:rsidR="00186360">
              <w:rPr>
                <w:rFonts w:ascii="Arial" w:hAnsi="Arial" w:cs="Arial"/>
                <w:b/>
                <w:sz w:val="18"/>
                <w:szCs w:val="18"/>
              </w:rPr>
              <w:t>e</w:t>
            </w:r>
            <w:r w:rsidRPr="00F559B5">
              <w:rPr>
                <w:rFonts w:ascii="Arial" w:hAnsi="Arial" w:cs="Arial"/>
                <w:b/>
                <w:sz w:val="18"/>
                <w:szCs w:val="18"/>
              </w:rPr>
              <w:t>xamples</w:t>
            </w:r>
          </w:p>
        </w:tc>
      </w:tr>
      <w:tr w:rsidR="00E10391" w:rsidRPr="00F559B5" w:rsidTr="00A66271">
        <w:trPr>
          <w:cantSplit/>
        </w:trPr>
        <w:tc>
          <w:tcPr>
            <w:tcW w:w="9923" w:type="dxa"/>
            <w:gridSpan w:val="2"/>
            <w:tcBorders>
              <w:bottom w:val="single" w:sz="4" w:space="0" w:color="auto"/>
            </w:tcBorders>
            <w:shd w:val="clear" w:color="auto" w:fill="FABF8F" w:themeFill="accent6" w:themeFillTint="99"/>
          </w:tcPr>
          <w:p w:rsidR="00E10391" w:rsidRPr="00F559B5" w:rsidRDefault="00E10391" w:rsidP="00A66271">
            <w:pPr>
              <w:keepNext/>
              <w:spacing w:before="40" w:after="40"/>
              <w:ind w:left="284" w:hanging="284"/>
              <w:rPr>
                <w:rFonts w:ascii="Arial" w:hAnsi="Arial" w:cs="Arial"/>
                <w:b/>
                <w:sz w:val="18"/>
                <w:szCs w:val="18"/>
              </w:rPr>
            </w:pPr>
            <w:r w:rsidRPr="00F559B5">
              <w:rPr>
                <w:rFonts w:ascii="Arial" w:hAnsi="Arial" w:cs="Arial"/>
                <w:b/>
                <w:sz w:val="18"/>
                <w:szCs w:val="18"/>
              </w:rPr>
              <w:t>Element 1 – Adopt a conscientious approach</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1</w:t>
            </w:r>
            <w:r w:rsidRPr="00F559B5">
              <w:rPr>
                <w:rFonts w:ascii="Arial" w:hAnsi="Arial" w:cs="Arial"/>
                <w:sz w:val="18"/>
                <w:szCs w:val="18"/>
              </w:rPr>
              <w:tab/>
              <w:t>Uses a systematic and well organised work process.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demonstrate a rigorous and systematic work process.</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demonstrate efficient work practices.</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use time productively.</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2</w:t>
            </w:r>
            <w:r w:rsidRPr="00F559B5">
              <w:rPr>
                <w:rFonts w:ascii="Arial" w:hAnsi="Arial" w:cs="Arial"/>
                <w:sz w:val="18"/>
                <w:szCs w:val="18"/>
              </w:rPr>
              <w:tab/>
              <w:t>Accepts responsibility for and can account for professional judgments, acts and omissions.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account for actions, omissions and outcomes associated with professional contribution.</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3</w:t>
            </w:r>
            <w:r w:rsidRPr="00F559B5">
              <w:rPr>
                <w:rFonts w:ascii="Arial" w:hAnsi="Arial" w:cs="Arial"/>
                <w:sz w:val="18"/>
                <w:szCs w:val="18"/>
              </w:rPr>
              <w:tab/>
              <w:t>Displays diligence and care.</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demonstrate care and attention to detail in undertaking work activities.</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deliver accurate and complete work output.</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4</w:t>
            </w:r>
            <w:r w:rsidRPr="00F559B5">
              <w:rPr>
                <w:rFonts w:ascii="Arial" w:hAnsi="Arial" w:cs="Arial"/>
                <w:sz w:val="18"/>
                <w:szCs w:val="18"/>
              </w:rPr>
              <w:tab/>
              <w:t>Adopts a responsible attitude and professional image in the workplace.</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demonstrate punctuality.</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demonstrate flexibility in extending working hours where needed to meet consumer needs.</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demonstrate appropriate attire and presentation for the role and situation.</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widowControl w:val="0"/>
              <w:spacing w:before="40" w:after="40"/>
              <w:ind w:left="397" w:hanging="397"/>
              <w:rPr>
                <w:rFonts w:ascii="Arial" w:hAnsi="Arial" w:cs="Arial"/>
                <w:sz w:val="18"/>
                <w:szCs w:val="18"/>
              </w:rPr>
            </w:pPr>
            <w:r w:rsidRPr="00F559B5">
              <w:rPr>
                <w:rFonts w:ascii="Arial" w:hAnsi="Arial" w:cs="Arial"/>
                <w:sz w:val="18"/>
                <w:szCs w:val="18"/>
              </w:rPr>
              <w:t>5</w:t>
            </w:r>
            <w:r w:rsidRPr="00F559B5">
              <w:rPr>
                <w:rFonts w:ascii="Arial" w:hAnsi="Arial" w:cs="Arial"/>
                <w:sz w:val="18"/>
                <w:szCs w:val="18"/>
              </w:rPr>
              <w:tab/>
              <w:t>Copes with emotions in a functional manner.</w:t>
            </w:r>
          </w:p>
        </w:tc>
        <w:tc>
          <w:tcPr>
            <w:tcW w:w="6237" w:type="dxa"/>
            <w:shd w:val="clear" w:color="auto" w:fill="DBE5F1" w:themeFill="accent1" w:themeFillTint="33"/>
          </w:tcPr>
          <w:p w:rsidR="00E10391" w:rsidRPr="00F559B5" w:rsidRDefault="00E10391" w:rsidP="00E10391">
            <w:pPr>
              <w:widowControl w:val="0"/>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recognise and take responsibility for emotions.</w:t>
            </w:r>
          </w:p>
          <w:p w:rsidR="00E10391" w:rsidRPr="00F559B5" w:rsidRDefault="00E10391" w:rsidP="00E10391">
            <w:pPr>
              <w:widowControl w:val="0"/>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integrate emotions with intellect and will.</w:t>
            </w:r>
          </w:p>
          <w:p w:rsidR="00E10391" w:rsidRPr="00F559B5" w:rsidRDefault="00E10391" w:rsidP="00E10391">
            <w:pPr>
              <w:widowControl w:val="0"/>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deal positively with negative emotions such as anger.</w:t>
            </w:r>
          </w:p>
        </w:tc>
      </w:tr>
      <w:tr w:rsidR="00E10391" w:rsidRPr="00F559B5" w:rsidTr="00A66271">
        <w:trPr>
          <w:cantSplit/>
        </w:trPr>
        <w:tc>
          <w:tcPr>
            <w:tcW w:w="9923" w:type="dxa"/>
            <w:gridSpan w:val="2"/>
            <w:shd w:val="clear" w:color="auto" w:fill="FABF8F" w:themeFill="accent6" w:themeFillTint="99"/>
          </w:tcPr>
          <w:p w:rsidR="00E10391" w:rsidRPr="00F559B5" w:rsidRDefault="00E10391" w:rsidP="00A66271">
            <w:pPr>
              <w:spacing w:before="40" w:after="40"/>
              <w:rPr>
                <w:rFonts w:ascii="Arial" w:hAnsi="Arial" w:cs="Arial"/>
                <w:sz w:val="18"/>
                <w:szCs w:val="18"/>
              </w:rPr>
            </w:pPr>
            <w:r w:rsidRPr="00F559B5">
              <w:rPr>
                <w:rFonts w:ascii="Arial" w:hAnsi="Arial" w:cs="Arial"/>
                <w:b/>
                <w:sz w:val="18"/>
                <w:szCs w:val="18"/>
              </w:rPr>
              <w:t>Element 2 – Understand the work environment</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1</w:t>
            </w:r>
            <w:r w:rsidRPr="00F559B5">
              <w:rPr>
                <w:rFonts w:ascii="Arial" w:hAnsi="Arial" w:cs="Arial"/>
                <w:sz w:val="18"/>
                <w:szCs w:val="18"/>
              </w:rPr>
              <w:tab/>
              <w:t>Understands the structure in which the pharmacist works.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clearly describe the structure of the organisation, environment and/or pharmacy service in which they work.</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where their position fits in the structure and their responsibilities and accountabilities.</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2</w:t>
            </w:r>
            <w:r w:rsidRPr="00F559B5">
              <w:rPr>
                <w:rFonts w:ascii="Arial" w:hAnsi="Arial" w:cs="Arial"/>
                <w:sz w:val="18"/>
                <w:szCs w:val="18"/>
              </w:rPr>
              <w:tab/>
              <w:t>Verifies the pharmacist’s role and responsibilities within the organisation.</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their roles and responsibilities in terms of the position statement/duty statement applicable to the position held.</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3</w:t>
            </w:r>
            <w:r w:rsidRPr="00F559B5">
              <w:rPr>
                <w:rFonts w:ascii="Arial" w:hAnsi="Arial" w:cs="Arial"/>
                <w:sz w:val="18"/>
                <w:szCs w:val="18"/>
              </w:rPr>
              <w:tab/>
              <w:t>Understands the conditions of employment.</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describe the key conditions of employment, including specific inclusions or exclusions (e.g. award entitlements, contractual conditions, special arrangements).</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demonstrate compliance with conditions of employment.</w:t>
            </w:r>
          </w:p>
        </w:tc>
      </w:tr>
      <w:tr w:rsidR="00E10391" w:rsidRPr="00F559B5" w:rsidTr="00A66271">
        <w:trPr>
          <w:cantSplit/>
        </w:trPr>
        <w:tc>
          <w:tcPr>
            <w:tcW w:w="9923" w:type="dxa"/>
            <w:gridSpan w:val="2"/>
            <w:shd w:val="clear" w:color="auto" w:fill="FABF8F" w:themeFill="accent6" w:themeFillTint="99"/>
          </w:tcPr>
          <w:p w:rsidR="00E10391" w:rsidRPr="00F559B5" w:rsidRDefault="00E10391" w:rsidP="00A66271">
            <w:pPr>
              <w:spacing w:before="40" w:after="40"/>
              <w:rPr>
                <w:rFonts w:ascii="Arial" w:hAnsi="Arial" w:cs="Arial"/>
                <w:b/>
                <w:sz w:val="18"/>
                <w:szCs w:val="18"/>
              </w:rPr>
            </w:pPr>
            <w:r w:rsidRPr="00F559B5">
              <w:rPr>
                <w:rFonts w:ascii="Arial" w:hAnsi="Arial" w:cs="Arial"/>
                <w:b/>
                <w:sz w:val="18"/>
                <w:szCs w:val="18"/>
              </w:rPr>
              <w:t>Element 3 – Contribute to maintaining a safe working environment</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pStyle w:val="Header"/>
              <w:spacing w:before="40" w:after="40"/>
              <w:ind w:left="397" w:hanging="397"/>
              <w:rPr>
                <w:rFonts w:ascii="Arial" w:hAnsi="Arial" w:cs="Arial"/>
                <w:sz w:val="18"/>
                <w:szCs w:val="18"/>
              </w:rPr>
            </w:pPr>
            <w:r w:rsidRPr="00F559B5">
              <w:rPr>
                <w:rFonts w:ascii="Arial" w:hAnsi="Arial" w:cs="Arial"/>
                <w:sz w:val="18"/>
                <w:szCs w:val="18"/>
              </w:rPr>
              <w:t>1</w:t>
            </w:r>
            <w:r w:rsidRPr="00F559B5">
              <w:rPr>
                <w:rFonts w:ascii="Arial" w:hAnsi="Arial" w:cs="Arial"/>
                <w:sz w:val="18"/>
                <w:szCs w:val="18"/>
              </w:rPr>
              <w:tab/>
              <w:t>Contributes to maintenance of workplace security systems.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the key security systems for the workplace (e.g. for cash, narcotics and other controlled substances, investigational drugs, consumer records, entry and exit points) and levels of access and/or authority applicable to each.</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pStyle w:val="Header"/>
              <w:spacing w:before="40" w:after="40"/>
              <w:ind w:left="397" w:hanging="397"/>
              <w:rPr>
                <w:rFonts w:ascii="Arial" w:hAnsi="Arial" w:cs="Arial"/>
                <w:sz w:val="18"/>
                <w:szCs w:val="18"/>
              </w:rPr>
            </w:pPr>
            <w:r w:rsidRPr="00F559B5">
              <w:rPr>
                <w:rFonts w:ascii="Arial" w:hAnsi="Arial" w:cs="Arial"/>
                <w:sz w:val="18"/>
                <w:szCs w:val="18"/>
              </w:rPr>
              <w:lastRenderedPageBreak/>
              <w:t>2</w:t>
            </w:r>
            <w:r w:rsidRPr="00F559B5">
              <w:rPr>
                <w:rFonts w:ascii="Arial" w:hAnsi="Arial" w:cs="Arial"/>
                <w:sz w:val="18"/>
                <w:szCs w:val="18"/>
              </w:rPr>
              <w:tab/>
              <w:t>Promotes maintenance of a safe and secure workplace by others.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clearly describe to supervised staff those work practices expected of them that are intended to maintain a safe and secure workplace.</w:t>
            </w:r>
          </w:p>
        </w:tc>
      </w:tr>
    </w:tbl>
    <w:p w:rsidR="00E10391" w:rsidRPr="00F559B5" w:rsidRDefault="00E10391" w:rsidP="00E10391">
      <w:pPr>
        <w:pStyle w:val="Header"/>
        <w:rPr>
          <w:rFonts w:ascii="Arial" w:hAnsi="Arial" w:cs="Arial"/>
          <w:sz w:val="18"/>
          <w:szCs w:val="18"/>
        </w:rPr>
      </w:pPr>
    </w:p>
    <w:p w:rsidR="00E10391" w:rsidRPr="00F559B5" w:rsidRDefault="00E10391" w:rsidP="00E10391">
      <w:pPr>
        <w:rPr>
          <w:rFonts w:ascii="Arial" w:hAnsi="Arial" w:cs="Arial"/>
          <w:sz w:val="18"/>
          <w:szCs w:val="18"/>
        </w:rPr>
      </w:pPr>
    </w:p>
    <w:p w:rsidR="00E10391" w:rsidRPr="00D80945" w:rsidRDefault="00E10391" w:rsidP="00E10391">
      <w:pPr>
        <w:pStyle w:val="Heading3"/>
        <w:rPr>
          <w:rFonts w:ascii="Arial" w:hAnsi="Arial" w:cs="Arial"/>
          <w:strike/>
        </w:rPr>
      </w:pPr>
      <w:bookmarkStart w:id="18" w:name="_Toc377638240"/>
      <w:r w:rsidRPr="00D80945">
        <w:rPr>
          <w:rFonts w:ascii="Arial" w:hAnsi="Arial" w:cs="Arial"/>
          <w:color w:val="FF0000"/>
        </w:rPr>
        <w:t>Standard 2.6</w:t>
      </w:r>
      <w:r w:rsidRPr="00D80945">
        <w:rPr>
          <w:rFonts w:ascii="Arial" w:hAnsi="Arial" w:cs="Arial"/>
        </w:rPr>
        <w:t xml:space="preserve"> Plan and manage professional contribution</w:t>
      </w:r>
      <w:bookmarkEnd w:id="18"/>
    </w:p>
    <w:p w:rsidR="00E10391" w:rsidRPr="00F559B5" w:rsidRDefault="00E10391" w:rsidP="00E10391">
      <w:pPr>
        <w:rPr>
          <w:rFonts w:ascii="Arial" w:hAnsi="Arial" w:cs="Arial"/>
          <w:sz w:val="18"/>
          <w:szCs w:val="1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237"/>
      </w:tblGrid>
      <w:tr w:rsidR="00E10391" w:rsidRPr="00F559B5" w:rsidTr="00A66271">
        <w:trPr>
          <w:cantSplit/>
          <w:tblHeader/>
        </w:trPr>
        <w:tc>
          <w:tcPr>
            <w:tcW w:w="3686" w:type="dxa"/>
            <w:tcBorders>
              <w:bottom w:val="single" w:sz="4" w:space="0" w:color="auto"/>
            </w:tcBorders>
            <w:shd w:val="clear" w:color="auto" w:fill="548DD4" w:themeFill="text2" w:themeFillTint="99"/>
          </w:tcPr>
          <w:p w:rsidR="00E10391" w:rsidRPr="00F559B5" w:rsidRDefault="00E10391" w:rsidP="00186360">
            <w:pPr>
              <w:spacing w:before="40" w:after="40"/>
              <w:ind w:left="567" w:hanging="567"/>
              <w:rPr>
                <w:rFonts w:ascii="Arial" w:hAnsi="Arial" w:cs="Arial"/>
                <w:b/>
                <w:sz w:val="18"/>
                <w:szCs w:val="18"/>
              </w:rPr>
            </w:pPr>
            <w:r w:rsidRPr="00F559B5">
              <w:rPr>
                <w:rFonts w:ascii="Arial" w:hAnsi="Arial" w:cs="Arial"/>
                <w:b/>
                <w:sz w:val="18"/>
                <w:szCs w:val="18"/>
              </w:rPr>
              <w:t xml:space="preserve">Performance </w:t>
            </w:r>
            <w:r w:rsidR="00186360">
              <w:rPr>
                <w:rFonts w:ascii="Arial" w:hAnsi="Arial" w:cs="Arial"/>
                <w:b/>
                <w:sz w:val="18"/>
                <w:szCs w:val="18"/>
              </w:rPr>
              <w:t>c</w:t>
            </w:r>
            <w:r w:rsidRPr="00F559B5">
              <w:rPr>
                <w:rFonts w:ascii="Arial" w:hAnsi="Arial" w:cs="Arial"/>
                <w:b/>
                <w:sz w:val="18"/>
                <w:szCs w:val="18"/>
              </w:rPr>
              <w:t>riteria</w:t>
            </w:r>
          </w:p>
        </w:tc>
        <w:tc>
          <w:tcPr>
            <w:tcW w:w="6237" w:type="dxa"/>
            <w:tcBorders>
              <w:bottom w:val="single" w:sz="4" w:space="0" w:color="auto"/>
            </w:tcBorders>
            <w:shd w:val="clear" w:color="auto" w:fill="548DD4" w:themeFill="text2" w:themeFillTint="99"/>
          </w:tcPr>
          <w:p w:rsidR="00E10391" w:rsidRPr="00F559B5" w:rsidRDefault="00E10391" w:rsidP="00186360">
            <w:pPr>
              <w:spacing w:before="40" w:after="40"/>
              <w:ind w:left="284" w:hanging="284"/>
              <w:rPr>
                <w:rFonts w:ascii="Arial" w:hAnsi="Arial" w:cs="Arial"/>
                <w:b/>
                <w:sz w:val="18"/>
                <w:szCs w:val="18"/>
              </w:rPr>
            </w:pPr>
            <w:r w:rsidRPr="00F559B5">
              <w:rPr>
                <w:rFonts w:ascii="Arial" w:hAnsi="Arial" w:cs="Arial"/>
                <w:b/>
                <w:sz w:val="18"/>
                <w:szCs w:val="18"/>
              </w:rPr>
              <w:t xml:space="preserve">Evidence </w:t>
            </w:r>
            <w:r w:rsidR="00186360">
              <w:rPr>
                <w:rFonts w:ascii="Arial" w:hAnsi="Arial" w:cs="Arial"/>
                <w:b/>
                <w:sz w:val="18"/>
                <w:szCs w:val="18"/>
              </w:rPr>
              <w:t>e</w:t>
            </w:r>
            <w:r w:rsidRPr="00F559B5">
              <w:rPr>
                <w:rFonts w:ascii="Arial" w:hAnsi="Arial" w:cs="Arial"/>
                <w:b/>
                <w:sz w:val="18"/>
                <w:szCs w:val="18"/>
              </w:rPr>
              <w:t>xamples</w:t>
            </w:r>
          </w:p>
        </w:tc>
      </w:tr>
      <w:tr w:rsidR="00E10391" w:rsidRPr="00F559B5" w:rsidTr="00A66271">
        <w:trPr>
          <w:cantSplit/>
        </w:trPr>
        <w:tc>
          <w:tcPr>
            <w:tcW w:w="9923" w:type="dxa"/>
            <w:gridSpan w:val="2"/>
            <w:tcBorders>
              <w:bottom w:val="single" w:sz="4" w:space="0" w:color="auto"/>
            </w:tcBorders>
            <w:shd w:val="clear" w:color="auto" w:fill="FABF8F" w:themeFill="accent6" w:themeFillTint="99"/>
          </w:tcPr>
          <w:p w:rsidR="00E10391" w:rsidRPr="00F559B5" w:rsidRDefault="00E10391" w:rsidP="00A66271">
            <w:pPr>
              <w:spacing w:before="40" w:after="40"/>
              <w:ind w:left="284" w:hanging="284"/>
              <w:rPr>
                <w:rFonts w:ascii="Arial" w:hAnsi="Arial" w:cs="Arial"/>
                <w:b/>
                <w:sz w:val="18"/>
                <w:szCs w:val="18"/>
              </w:rPr>
            </w:pPr>
            <w:r w:rsidRPr="00F559B5">
              <w:rPr>
                <w:rFonts w:ascii="Arial" w:hAnsi="Arial" w:cs="Arial"/>
                <w:b/>
                <w:sz w:val="18"/>
                <w:szCs w:val="18"/>
              </w:rPr>
              <w:t>Element 1 – Assure the adequacy of resources</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1</w:t>
            </w:r>
            <w:r w:rsidRPr="00F559B5">
              <w:rPr>
                <w:rFonts w:ascii="Arial" w:hAnsi="Arial" w:cs="Arial"/>
                <w:sz w:val="18"/>
                <w:szCs w:val="18"/>
              </w:rPr>
              <w:tab/>
              <w:t>Understands the need to assess the adequacy of available human resources.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describe the adequacy of the available </w:t>
            </w:r>
            <w:r>
              <w:rPr>
                <w:rFonts w:ascii="Arial" w:hAnsi="Arial" w:cs="Arial"/>
                <w:sz w:val="18"/>
                <w:szCs w:val="18"/>
              </w:rPr>
              <w:t>compounding expertise</w:t>
            </w:r>
            <w:r w:rsidRPr="00F559B5">
              <w:rPr>
                <w:rFonts w:ascii="Arial" w:hAnsi="Arial" w:cs="Arial"/>
                <w:sz w:val="18"/>
                <w:szCs w:val="18"/>
              </w:rPr>
              <w:t xml:space="preserve"> for undertaking the required work.</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discuss the link between excessive workload and fatigue, stress, performance impairment and error.</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2</w:t>
            </w:r>
            <w:r w:rsidRPr="00F559B5">
              <w:rPr>
                <w:rFonts w:ascii="Arial" w:hAnsi="Arial" w:cs="Arial"/>
                <w:sz w:val="18"/>
                <w:szCs w:val="18"/>
              </w:rPr>
              <w:tab/>
              <w:t>Establishes the communication pathways necessary to achieve desired work outcomes.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the communication network established to achieve work outcomes.</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3</w:t>
            </w:r>
            <w:r w:rsidRPr="00F559B5">
              <w:rPr>
                <w:rFonts w:ascii="Arial" w:hAnsi="Arial" w:cs="Arial"/>
                <w:sz w:val="18"/>
                <w:szCs w:val="18"/>
              </w:rPr>
              <w:tab/>
              <w:t>Assesses the adequacy of resources available to undertake work activities.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assess required resources for usual presenting workload.</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assess specific requirements for undertaking work (e.g. information, </w:t>
            </w:r>
            <w:r>
              <w:rPr>
                <w:rFonts w:ascii="Arial" w:hAnsi="Arial" w:cs="Arial"/>
                <w:sz w:val="18"/>
                <w:szCs w:val="18"/>
              </w:rPr>
              <w:t>raw materials</w:t>
            </w:r>
            <w:r w:rsidRPr="00F559B5">
              <w:rPr>
                <w:rFonts w:ascii="Arial" w:hAnsi="Arial" w:cs="Arial"/>
                <w:sz w:val="18"/>
                <w:szCs w:val="18"/>
              </w:rPr>
              <w:t>,</w:t>
            </w:r>
            <w:r>
              <w:rPr>
                <w:rFonts w:ascii="Arial" w:hAnsi="Arial" w:cs="Arial"/>
                <w:sz w:val="18"/>
                <w:szCs w:val="18"/>
              </w:rPr>
              <w:t xml:space="preserve"> specialised</w:t>
            </w:r>
            <w:r w:rsidRPr="00F559B5">
              <w:rPr>
                <w:rFonts w:ascii="Arial" w:hAnsi="Arial" w:cs="Arial"/>
                <w:sz w:val="18"/>
                <w:szCs w:val="18"/>
              </w:rPr>
              <w:t xml:space="preserve"> </w:t>
            </w:r>
            <w:r>
              <w:rPr>
                <w:rFonts w:ascii="Arial" w:hAnsi="Arial" w:cs="Arial"/>
                <w:sz w:val="18"/>
                <w:szCs w:val="18"/>
              </w:rPr>
              <w:t xml:space="preserve">facilities and </w:t>
            </w:r>
            <w:r w:rsidRPr="00F559B5">
              <w:rPr>
                <w:rFonts w:ascii="Arial" w:hAnsi="Arial" w:cs="Arial"/>
                <w:sz w:val="18"/>
                <w:szCs w:val="18"/>
              </w:rPr>
              <w:t xml:space="preserve">equipment, </w:t>
            </w:r>
            <w:r>
              <w:rPr>
                <w:rFonts w:ascii="Arial" w:hAnsi="Arial" w:cs="Arial"/>
                <w:sz w:val="18"/>
                <w:szCs w:val="18"/>
              </w:rPr>
              <w:t>relevant complex compounding expertise</w:t>
            </w:r>
            <w:r w:rsidRPr="00F559B5">
              <w:rPr>
                <w:rFonts w:ascii="Arial" w:hAnsi="Arial" w:cs="Arial"/>
                <w:sz w:val="18"/>
                <w:szCs w:val="18"/>
              </w:rPr>
              <w:t>) and to ensure those requirements are</w:t>
            </w:r>
            <w:r>
              <w:rPr>
                <w:rFonts w:ascii="Arial" w:hAnsi="Arial" w:cs="Arial"/>
                <w:sz w:val="18"/>
                <w:szCs w:val="18"/>
              </w:rPr>
              <w:t>,</w:t>
            </w:r>
            <w:r w:rsidRPr="00F559B5">
              <w:rPr>
                <w:rFonts w:ascii="Arial" w:hAnsi="Arial" w:cs="Arial"/>
                <w:sz w:val="18"/>
                <w:szCs w:val="18"/>
              </w:rPr>
              <w:t xml:space="preserve"> or can be</w:t>
            </w:r>
            <w:r>
              <w:rPr>
                <w:rFonts w:ascii="Arial" w:hAnsi="Arial" w:cs="Arial"/>
                <w:sz w:val="18"/>
                <w:szCs w:val="18"/>
              </w:rPr>
              <w:t>,</w:t>
            </w:r>
            <w:r w:rsidRPr="00F559B5">
              <w:rPr>
                <w:rFonts w:ascii="Arial" w:hAnsi="Arial" w:cs="Arial"/>
                <w:sz w:val="18"/>
                <w:szCs w:val="18"/>
              </w:rPr>
              <w:t xml:space="preserve"> met.</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4</w:t>
            </w:r>
            <w:r w:rsidRPr="00F559B5">
              <w:rPr>
                <w:rFonts w:ascii="Arial" w:hAnsi="Arial" w:cs="Arial"/>
                <w:sz w:val="18"/>
                <w:szCs w:val="18"/>
              </w:rPr>
              <w:tab/>
              <w:t>Works with colleagues to ensure resources are adequate for the usual workload.</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initiate action (e.g. advice to supervisor, recruitment activity) when available resources and usual workload are poorly correlated.</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pStyle w:val="Header"/>
              <w:spacing w:before="40" w:after="40"/>
              <w:ind w:left="397" w:hanging="397"/>
              <w:rPr>
                <w:rFonts w:ascii="Arial" w:hAnsi="Arial" w:cs="Arial"/>
                <w:sz w:val="18"/>
                <w:szCs w:val="18"/>
              </w:rPr>
            </w:pPr>
            <w:r w:rsidRPr="00F559B5">
              <w:rPr>
                <w:rFonts w:ascii="Arial" w:hAnsi="Arial" w:cs="Arial"/>
                <w:sz w:val="18"/>
                <w:szCs w:val="18"/>
              </w:rPr>
              <w:t>5</w:t>
            </w:r>
            <w:r w:rsidRPr="00F559B5">
              <w:rPr>
                <w:rFonts w:ascii="Arial" w:hAnsi="Arial" w:cs="Arial"/>
                <w:sz w:val="18"/>
                <w:szCs w:val="18"/>
              </w:rPr>
              <w:tab/>
              <w:t>Works with colleagues to ensure adequate and appropriate stock and equipment is available.</w:t>
            </w:r>
          </w:p>
        </w:tc>
        <w:tc>
          <w:tcPr>
            <w:tcW w:w="6237" w:type="dxa"/>
            <w:shd w:val="clear" w:color="auto" w:fill="DBE5F1" w:themeFill="accent1" w:themeFillTint="33"/>
          </w:tcPr>
          <w:p w:rsidR="00E10391"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 xml:space="preserve">Ability to assess required levels of </w:t>
            </w:r>
            <w:r>
              <w:rPr>
                <w:rFonts w:ascii="Arial" w:hAnsi="Arial" w:cs="Arial"/>
                <w:sz w:val="18"/>
                <w:szCs w:val="18"/>
              </w:rPr>
              <w:t>raw materials</w:t>
            </w:r>
            <w:r w:rsidRPr="00F559B5">
              <w:rPr>
                <w:rFonts w:ascii="Arial" w:hAnsi="Arial" w:cs="Arial"/>
                <w:sz w:val="18"/>
                <w:szCs w:val="18"/>
              </w:rPr>
              <w:t xml:space="preserve"> and/or equipment </w:t>
            </w:r>
            <w:r>
              <w:rPr>
                <w:rFonts w:ascii="Arial" w:hAnsi="Arial" w:cs="Arial"/>
                <w:sz w:val="18"/>
                <w:szCs w:val="18"/>
              </w:rPr>
              <w:t>for the range and number of complex compounded products prepared</w:t>
            </w:r>
            <w:r w:rsidRPr="00F559B5">
              <w:rPr>
                <w:rFonts w:ascii="Arial" w:hAnsi="Arial" w:cs="Arial"/>
                <w:sz w:val="18"/>
                <w:szCs w:val="18"/>
              </w:rPr>
              <w:t>.</w:t>
            </w:r>
          </w:p>
          <w:p w:rsidR="00E10391" w:rsidRPr="00F559B5" w:rsidRDefault="00E10391" w:rsidP="00E10391">
            <w:pPr>
              <w:numPr>
                <w:ilvl w:val="0"/>
                <w:numId w:val="24"/>
              </w:numPr>
              <w:spacing w:before="40" w:after="40"/>
              <w:ind w:left="284" w:hanging="284"/>
              <w:rPr>
                <w:rFonts w:ascii="Arial" w:hAnsi="Arial" w:cs="Arial"/>
                <w:sz w:val="18"/>
                <w:szCs w:val="18"/>
              </w:rPr>
            </w:pPr>
            <w:r>
              <w:rPr>
                <w:rFonts w:ascii="Arial" w:hAnsi="Arial" w:cs="Arial"/>
                <w:sz w:val="18"/>
                <w:szCs w:val="18"/>
              </w:rPr>
              <w:t>Ability to maintain a supply chain for required materials of appropriate quality for the complex compounded products prepared.</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pStyle w:val="Header"/>
              <w:spacing w:before="40" w:after="40"/>
              <w:ind w:left="397" w:hanging="397"/>
              <w:rPr>
                <w:rFonts w:ascii="Arial" w:hAnsi="Arial" w:cs="Arial"/>
                <w:sz w:val="18"/>
                <w:szCs w:val="18"/>
              </w:rPr>
            </w:pPr>
            <w:r w:rsidRPr="00F559B5">
              <w:rPr>
                <w:rFonts w:ascii="Arial" w:hAnsi="Arial" w:cs="Arial"/>
                <w:sz w:val="18"/>
                <w:szCs w:val="18"/>
              </w:rPr>
              <w:t>6</w:t>
            </w:r>
            <w:r w:rsidRPr="00F559B5">
              <w:rPr>
                <w:rFonts w:ascii="Arial" w:hAnsi="Arial" w:cs="Arial"/>
                <w:sz w:val="18"/>
                <w:szCs w:val="18"/>
              </w:rPr>
              <w:tab/>
              <w:t>Contributes to stock management and equipment maintenance in a manner consistent with local policy and procedures.</w:t>
            </w:r>
          </w:p>
        </w:tc>
        <w:tc>
          <w:tcPr>
            <w:tcW w:w="6237" w:type="dxa"/>
            <w:shd w:val="clear" w:color="auto" w:fill="DBE5F1" w:themeFill="accent1" w:themeFillTint="33"/>
          </w:tcPr>
          <w:p w:rsidR="00E10391"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describe requirements and/or comply with local policies for </w:t>
            </w:r>
            <w:r>
              <w:rPr>
                <w:rFonts w:ascii="Arial" w:hAnsi="Arial" w:cs="Arial"/>
                <w:sz w:val="18"/>
                <w:szCs w:val="18"/>
              </w:rPr>
              <w:t>materials</w:t>
            </w:r>
            <w:r w:rsidRPr="00F559B5">
              <w:rPr>
                <w:rFonts w:ascii="Arial" w:hAnsi="Arial" w:cs="Arial"/>
                <w:sz w:val="18"/>
                <w:szCs w:val="18"/>
              </w:rPr>
              <w:t xml:space="preserve"> management </w:t>
            </w:r>
            <w:r>
              <w:rPr>
                <w:rFonts w:ascii="Arial" w:hAnsi="Arial" w:cs="Arial"/>
                <w:sz w:val="18"/>
                <w:szCs w:val="18"/>
              </w:rPr>
              <w:t xml:space="preserve">(e.g. acquisition, storage </w:t>
            </w:r>
            <w:r w:rsidRPr="00F559B5">
              <w:rPr>
                <w:rFonts w:ascii="Arial" w:hAnsi="Arial" w:cs="Arial"/>
                <w:sz w:val="18"/>
                <w:szCs w:val="18"/>
              </w:rPr>
              <w:t xml:space="preserve">and </w:t>
            </w:r>
            <w:r>
              <w:rPr>
                <w:rFonts w:ascii="Arial" w:hAnsi="Arial" w:cs="Arial"/>
                <w:sz w:val="18"/>
                <w:szCs w:val="18"/>
              </w:rPr>
              <w:t xml:space="preserve">quarantine arrangements) and </w:t>
            </w:r>
            <w:r w:rsidRPr="00F559B5">
              <w:rPr>
                <w:rFonts w:ascii="Arial" w:hAnsi="Arial" w:cs="Arial"/>
                <w:sz w:val="18"/>
                <w:szCs w:val="18"/>
              </w:rPr>
              <w:t>equipment maintenance.</w:t>
            </w:r>
          </w:p>
          <w:p w:rsidR="00E10391" w:rsidRPr="00F559B5" w:rsidRDefault="00E10391" w:rsidP="00E10391">
            <w:pPr>
              <w:numPr>
                <w:ilvl w:val="0"/>
                <w:numId w:val="24"/>
              </w:numPr>
              <w:spacing w:before="40" w:after="40"/>
              <w:ind w:left="284"/>
              <w:rPr>
                <w:rFonts w:ascii="Arial" w:hAnsi="Arial" w:cs="Arial"/>
                <w:sz w:val="18"/>
                <w:szCs w:val="18"/>
              </w:rPr>
            </w:pPr>
            <w:r>
              <w:rPr>
                <w:rFonts w:ascii="Arial" w:hAnsi="Arial" w:cs="Arial"/>
                <w:sz w:val="18"/>
                <w:szCs w:val="18"/>
              </w:rPr>
              <w:t>Ability to accurately maintain a log of equipment testing/certification that is consistent with relevant Australian Standards or manufacturers specifications.</w:t>
            </w:r>
          </w:p>
        </w:tc>
      </w:tr>
      <w:tr w:rsidR="00E10391" w:rsidRPr="00F559B5" w:rsidTr="00A66271">
        <w:trPr>
          <w:cantSplit/>
        </w:trPr>
        <w:tc>
          <w:tcPr>
            <w:tcW w:w="9923" w:type="dxa"/>
            <w:gridSpan w:val="2"/>
            <w:shd w:val="clear" w:color="auto" w:fill="FABF8F" w:themeFill="accent6" w:themeFillTint="99"/>
          </w:tcPr>
          <w:p w:rsidR="00E10391" w:rsidRPr="00F559B5" w:rsidRDefault="00E10391" w:rsidP="00A66271">
            <w:pPr>
              <w:spacing w:before="40" w:after="40"/>
              <w:rPr>
                <w:rFonts w:ascii="Arial" w:hAnsi="Arial" w:cs="Arial"/>
                <w:sz w:val="18"/>
                <w:szCs w:val="18"/>
              </w:rPr>
            </w:pPr>
            <w:r w:rsidRPr="00F559B5">
              <w:rPr>
                <w:rFonts w:ascii="Arial" w:hAnsi="Arial" w:cs="Arial"/>
                <w:b/>
                <w:sz w:val="18"/>
                <w:szCs w:val="18"/>
              </w:rPr>
              <w:t>Element 2 – Plan and prioritise</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1</w:t>
            </w:r>
            <w:r w:rsidRPr="00F559B5">
              <w:rPr>
                <w:rFonts w:ascii="Arial" w:hAnsi="Arial" w:cs="Arial"/>
                <w:sz w:val="18"/>
                <w:szCs w:val="18"/>
              </w:rPr>
              <w:tab/>
              <w:t>Accepts responsibility for completing tasks in a timely manner.</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discuss ways of managing multiple and/or conflicting demands on their time.</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2</w:t>
            </w:r>
            <w:r w:rsidRPr="00F559B5">
              <w:rPr>
                <w:rFonts w:ascii="Arial" w:hAnsi="Arial" w:cs="Arial"/>
                <w:sz w:val="18"/>
                <w:szCs w:val="18"/>
              </w:rPr>
              <w:tab/>
              <w:t>Understands the need for careful planning.</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discuss the approaches/strategies for delivering outputs/outcomes in a timely manner (e.g. through productive and efficient work habits,</w:t>
            </w:r>
            <w:r w:rsidR="009579F3" w:rsidRPr="009579F3">
              <w:rPr>
                <w:rFonts w:ascii="Arial" w:hAnsi="Arial" w:cs="Arial"/>
                <w:sz w:val="18"/>
                <w:szCs w:val="18"/>
                <w:lang w:val="en-AU"/>
              </w:rPr>
              <w:t xml:space="preserve"> prioritisation</w:t>
            </w:r>
            <w:r w:rsidRPr="00F559B5">
              <w:rPr>
                <w:rFonts w:ascii="Arial" w:hAnsi="Arial" w:cs="Arial"/>
                <w:sz w:val="18"/>
                <w:szCs w:val="18"/>
              </w:rPr>
              <w:t>).</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3</w:t>
            </w:r>
            <w:r w:rsidRPr="00F559B5">
              <w:rPr>
                <w:rFonts w:ascii="Arial" w:hAnsi="Arial" w:cs="Arial"/>
                <w:sz w:val="18"/>
                <w:szCs w:val="18"/>
              </w:rPr>
              <w:tab/>
              <w:t>Assigns priorities to tasks in accordance with known circumstances.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justify assigned priority in terms of consumer need, difficulties to be resolved and timelines.</w:t>
            </w:r>
          </w:p>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 xml:space="preserve">Ability to identify factors and/or criteria (e.g. urgency, importance, possibility of using alternative products or personnel) that impact on the priority assigned to tasks. </w:t>
            </w:r>
          </w:p>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adjust priorities in response to changing circumstances.</w:t>
            </w:r>
          </w:p>
        </w:tc>
      </w:tr>
      <w:tr w:rsidR="00E10391" w:rsidRPr="00F559B5" w:rsidTr="00A66271">
        <w:trPr>
          <w:cantSplit/>
        </w:trPr>
        <w:tc>
          <w:tcPr>
            <w:tcW w:w="9923" w:type="dxa"/>
            <w:gridSpan w:val="2"/>
            <w:tcBorders>
              <w:bottom w:val="single" w:sz="4" w:space="0" w:color="auto"/>
            </w:tcBorders>
            <w:shd w:val="clear" w:color="auto" w:fill="FABF8F" w:themeFill="accent6" w:themeFillTint="99"/>
          </w:tcPr>
          <w:p w:rsidR="00E10391" w:rsidRPr="00F559B5" w:rsidRDefault="00E10391" w:rsidP="00A66271">
            <w:pPr>
              <w:spacing w:before="40" w:after="40"/>
              <w:ind w:left="284" w:hanging="284"/>
              <w:rPr>
                <w:rFonts w:ascii="Arial" w:hAnsi="Arial" w:cs="Arial"/>
                <w:b/>
                <w:sz w:val="18"/>
                <w:szCs w:val="18"/>
              </w:rPr>
            </w:pPr>
            <w:r w:rsidRPr="00F559B5">
              <w:rPr>
                <w:rFonts w:ascii="Arial" w:hAnsi="Arial" w:cs="Arial"/>
                <w:b/>
                <w:sz w:val="18"/>
                <w:szCs w:val="18"/>
              </w:rPr>
              <w:t>Element 3 – Manage work activities</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1</w:t>
            </w:r>
            <w:r w:rsidRPr="00F559B5">
              <w:rPr>
                <w:rFonts w:ascii="Arial" w:hAnsi="Arial" w:cs="Arial"/>
                <w:sz w:val="18"/>
                <w:szCs w:val="18"/>
              </w:rPr>
              <w:tab/>
              <w:t>Allocates resources according to established priorities.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use initiative and a flexible approach to manage human and other resources consistent with work demands.</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lastRenderedPageBreak/>
              <w:t>2</w:t>
            </w:r>
            <w:r w:rsidRPr="00F559B5">
              <w:rPr>
                <w:rFonts w:ascii="Arial" w:hAnsi="Arial" w:cs="Arial"/>
                <w:sz w:val="18"/>
                <w:szCs w:val="18"/>
              </w:rPr>
              <w:tab/>
              <w:t>Uses available resources to assist and support work effort.</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 xml:space="preserve">Ability to describe the personnel and other support systems that are available in the work environment to facilitate and support various </w:t>
            </w:r>
            <w:r>
              <w:rPr>
                <w:rFonts w:ascii="Arial" w:hAnsi="Arial" w:cs="Arial"/>
                <w:sz w:val="18"/>
                <w:szCs w:val="18"/>
              </w:rPr>
              <w:t>activities associated with the complex compounding service</w:t>
            </w:r>
            <w:r w:rsidRPr="00F559B5">
              <w:rPr>
                <w:rFonts w:ascii="Arial" w:hAnsi="Arial" w:cs="Arial"/>
                <w:sz w:val="18"/>
                <w:szCs w:val="18"/>
              </w:rPr>
              <w:t>.</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use systems (e.g. a ‘day book’ for noting issues for follow-up, computer programs, and electronic communication and stock ordering systems) that facilitate and support work effort.</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3</w:t>
            </w:r>
            <w:r w:rsidRPr="00F559B5">
              <w:rPr>
                <w:rFonts w:ascii="Arial" w:hAnsi="Arial" w:cs="Arial"/>
                <w:sz w:val="18"/>
                <w:szCs w:val="18"/>
              </w:rPr>
              <w:tab/>
              <w:t>Seeks additional information and guidance required to complete tasks in a timely manner.</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understand and apply information, guidance and instructions provided by others to progress work activities.</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recognise situations where additional information or expertise is needed from other personnel (e.g. manager/senior pharmacist, human resources manager, business manager) to complete tasks.</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4</w:t>
            </w:r>
            <w:r w:rsidRPr="00F559B5">
              <w:rPr>
                <w:rFonts w:ascii="Arial" w:hAnsi="Arial" w:cs="Arial"/>
                <w:sz w:val="18"/>
                <w:szCs w:val="18"/>
              </w:rPr>
              <w:tab/>
              <w:t>Ensures work practices comply with local policies and procedures.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apply and/or promptly access policies and procedures specific to the workplace that impact on own work practices (e.g. stock management, complaints handling, </w:t>
            </w:r>
            <w:r>
              <w:rPr>
                <w:rFonts w:ascii="Arial" w:hAnsi="Arial" w:cs="Arial"/>
                <w:sz w:val="18"/>
                <w:szCs w:val="18"/>
              </w:rPr>
              <w:t xml:space="preserve">and </w:t>
            </w:r>
            <w:r w:rsidRPr="00F559B5">
              <w:rPr>
                <w:rFonts w:ascii="Arial" w:hAnsi="Arial" w:cs="Arial"/>
                <w:sz w:val="18"/>
                <w:szCs w:val="18"/>
              </w:rPr>
              <w:t>waste disposal).</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5</w:t>
            </w:r>
            <w:r w:rsidRPr="00F559B5">
              <w:rPr>
                <w:rFonts w:ascii="Arial" w:hAnsi="Arial" w:cs="Arial"/>
                <w:sz w:val="18"/>
                <w:szCs w:val="18"/>
              </w:rPr>
              <w:tab/>
              <w:t>Determines which, if any, of the tasks may be safely delegated.</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identify and justify tasks or elements of tasks that may be appropriately delegated to other available personnel.</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6</w:t>
            </w:r>
            <w:r w:rsidRPr="00F559B5">
              <w:rPr>
                <w:rFonts w:ascii="Arial" w:hAnsi="Arial" w:cs="Arial"/>
                <w:sz w:val="18"/>
                <w:szCs w:val="18"/>
              </w:rPr>
              <w:tab/>
              <w:t>Manages problems/issues that may act as barriers to the timely completion of tasks.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manage interferences (e.g. telephones, interruptions) that consume time without contributing to task completion.</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use problem-solving skills to identify corrective action needed to resolve specific problems/issues that may impede work progress.</w:t>
            </w:r>
          </w:p>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manage normal work and contingencies/unplanned events or demands to meet work deadlines.</w:t>
            </w:r>
          </w:p>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adhere to pre-arranged schedules for completion of tasks.</w:t>
            </w:r>
          </w:p>
        </w:tc>
      </w:tr>
    </w:tbl>
    <w:p w:rsidR="00E10391" w:rsidRDefault="00E10391" w:rsidP="00E10391">
      <w:pPr>
        <w:pStyle w:val="Heading3"/>
        <w:rPr>
          <w:color w:val="FF0000"/>
        </w:rPr>
      </w:pPr>
    </w:p>
    <w:p w:rsidR="00E10391" w:rsidRPr="00D80945" w:rsidRDefault="00E10391" w:rsidP="00E10391">
      <w:pPr>
        <w:pStyle w:val="Heading3"/>
        <w:rPr>
          <w:rFonts w:ascii="Arial" w:hAnsi="Arial" w:cs="Arial"/>
        </w:rPr>
      </w:pPr>
      <w:bookmarkStart w:id="19" w:name="_Toc377638241"/>
      <w:r w:rsidRPr="00D80945">
        <w:rPr>
          <w:rFonts w:ascii="Arial" w:hAnsi="Arial" w:cs="Arial"/>
          <w:color w:val="FF0000"/>
        </w:rPr>
        <w:t>Standard 2.7</w:t>
      </w:r>
      <w:r w:rsidRPr="00D80945">
        <w:rPr>
          <w:rFonts w:ascii="Arial" w:hAnsi="Arial" w:cs="Arial"/>
        </w:rPr>
        <w:t xml:space="preserve"> Supervise personnel</w:t>
      </w:r>
      <w:bookmarkEnd w:id="19"/>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237"/>
      </w:tblGrid>
      <w:tr w:rsidR="00E10391" w:rsidRPr="00F559B5" w:rsidTr="00A66271">
        <w:trPr>
          <w:cantSplit/>
          <w:tblHeader/>
        </w:trPr>
        <w:tc>
          <w:tcPr>
            <w:tcW w:w="3686" w:type="dxa"/>
            <w:tcBorders>
              <w:top w:val="nil"/>
              <w:left w:val="nil"/>
              <w:right w:val="nil"/>
            </w:tcBorders>
          </w:tcPr>
          <w:p w:rsidR="00E10391" w:rsidRPr="00F559B5" w:rsidRDefault="00E10391" w:rsidP="00A66271">
            <w:pPr>
              <w:spacing w:before="40" w:after="40"/>
              <w:rPr>
                <w:rFonts w:ascii="Arial" w:hAnsi="Arial" w:cs="Arial"/>
                <w:b/>
                <w:sz w:val="18"/>
                <w:szCs w:val="18"/>
              </w:rPr>
            </w:pPr>
          </w:p>
        </w:tc>
        <w:tc>
          <w:tcPr>
            <w:tcW w:w="6237" w:type="dxa"/>
            <w:tcBorders>
              <w:top w:val="nil"/>
              <w:left w:val="nil"/>
              <w:right w:val="nil"/>
            </w:tcBorders>
          </w:tcPr>
          <w:p w:rsidR="00E10391" w:rsidRPr="00F559B5" w:rsidRDefault="00E10391" w:rsidP="00A66271">
            <w:pPr>
              <w:spacing w:before="40" w:after="40"/>
              <w:ind w:left="284" w:hanging="284"/>
              <w:jc w:val="right"/>
              <w:rPr>
                <w:rFonts w:ascii="Arial" w:hAnsi="Arial" w:cs="Arial"/>
                <w:b/>
                <w:i/>
                <w:sz w:val="18"/>
                <w:szCs w:val="18"/>
              </w:rPr>
            </w:pPr>
          </w:p>
        </w:tc>
      </w:tr>
      <w:tr w:rsidR="00E10391" w:rsidRPr="00F559B5" w:rsidTr="00A66271">
        <w:trPr>
          <w:cantSplit/>
          <w:tblHeader/>
        </w:trPr>
        <w:tc>
          <w:tcPr>
            <w:tcW w:w="3686" w:type="dxa"/>
            <w:tcBorders>
              <w:bottom w:val="single" w:sz="4" w:space="0" w:color="auto"/>
            </w:tcBorders>
            <w:shd w:val="clear" w:color="auto" w:fill="548DD4" w:themeFill="text2" w:themeFillTint="99"/>
          </w:tcPr>
          <w:p w:rsidR="00E10391" w:rsidRPr="00F559B5" w:rsidRDefault="00E10391" w:rsidP="00186360">
            <w:pPr>
              <w:spacing w:before="40" w:after="40"/>
              <w:ind w:left="567" w:hanging="567"/>
              <w:rPr>
                <w:rFonts w:ascii="Arial" w:hAnsi="Arial" w:cs="Arial"/>
                <w:b/>
                <w:sz w:val="18"/>
                <w:szCs w:val="18"/>
              </w:rPr>
            </w:pPr>
            <w:r w:rsidRPr="00F559B5">
              <w:rPr>
                <w:rFonts w:ascii="Arial" w:hAnsi="Arial" w:cs="Arial"/>
                <w:b/>
                <w:sz w:val="18"/>
                <w:szCs w:val="18"/>
              </w:rPr>
              <w:t xml:space="preserve">Performance </w:t>
            </w:r>
            <w:r w:rsidR="00186360">
              <w:rPr>
                <w:rFonts w:ascii="Arial" w:hAnsi="Arial" w:cs="Arial"/>
                <w:b/>
                <w:sz w:val="18"/>
                <w:szCs w:val="18"/>
              </w:rPr>
              <w:t>c</w:t>
            </w:r>
            <w:r w:rsidRPr="00F559B5">
              <w:rPr>
                <w:rFonts w:ascii="Arial" w:hAnsi="Arial" w:cs="Arial"/>
                <w:b/>
                <w:sz w:val="18"/>
                <w:szCs w:val="18"/>
              </w:rPr>
              <w:t>riteria</w:t>
            </w:r>
          </w:p>
        </w:tc>
        <w:tc>
          <w:tcPr>
            <w:tcW w:w="6237" w:type="dxa"/>
            <w:tcBorders>
              <w:bottom w:val="single" w:sz="4" w:space="0" w:color="auto"/>
            </w:tcBorders>
            <w:shd w:val="clear" w:color="auto" w:fill="548DD4" w:themeFill="text2" w:themeFillTint="99"/>
          </w:tcPr>
          <w:p w:rsidR="00E10391" w:rsidRPr="00F559B5" w:rsidRDefault="00E10391" w:rsidP="00186360">
            <w:pPr>
              <w:spacing w:before="40" w:after="40"/>
              <w:ind w:left="284" w:hanging="284"/>
              <w:rPr>
                <w:rFonts w:ascii="Arial" w:hAnsi="Arial" w:cs="Arial"/>
                <w:b/>
                <w:sz w:val="18"/>
                <w:szCs w:val="18"/>
              </w:rPr>
            </w:pPr>
            <w:r w:rsidRPr="00F559B5">
              <w:rPr>
                <w:rFonts w:ascii="Arial" w:hAnsi="Arial" w:cs="Arial"/>
                <w:b/>
                <w:sz w:val="18"/>
                <w:szCs w:val="18"/>
              </w:rPr>
              <w:t xml:space="preserve">Evidence </w:t>
            </w:r>
            <w:r w:rsidR="00186360">
              <w:rPr>
                <w:rFonts w:ascii="Arial" w:hAnsi="Arial" w:cs="Arial"/>
                <w:b/>
                <w:sz w:val="18"/>
                <w:szCs w:val="18"/>
              </w:rPr>
              <w:t>e</w:t>
            </w:r>
            <w:r w:rsidRPr="00F559B5">
              <w:rPr>
                <w:rFonts w:ascii="Arial" w:hAnsi="Arial" w:cs="Arial"/>
                <w:b/>
                <w:sz w:val="18"/>
                <w:szCs w:val="18"/>
              </w:rPr>
              <w:t>xamples</w:t>
            </w:r>
          </w:p>
        </w:tc>
      </w:tr>
      <w:tr w:rsidR="00E10391" w:rsidRPr="00F559B5" w:rsidTr="00A66271">
        <w:trPr>
          <w:cantSplit/>
        </w:trPr>
        <w:tc>
          <w:tcPr>
            <w:tcW w:w="9923" w:type="dxa"/>
            <w:gridSpan w:val="2"/>
            <w:tcBorders>
              <w:bottom w:val="single" w:sz="4" w:space="0" w:color="auto"/>
            </w:tcBorders>
            <w:shd w:val="clear" w:color="auto" w:fill="FABF8F" w:themeFill="accent6" w:themeFillTint="99"/>
          </w:tcPr>
          <w:p w:rsidR="00E10391" w:rsidRPr="00F559B5" w:rsidRDefault="00E10391" w:rsidP="00A66271">
            <w:pPr>
              <w:spacing w:before="40" w:after="40"/>
              <w:ind w:left="284" w:hanging="284"/>
              <w:rPr>
                <w:rFonts w:ascii="Arial" w:hAnsi="Arial" w:cs="Arial"/>
                <w:b/>
                <w:sz w:val="18"/>
                <w:szCs w:val="18"/>
              </w:rPr>
            </w:pPr>
            <w:r w:rsidRPr="00F559B5">
              <w:rPr>
                <w:rFonts w:ascii="Arial" w:hAnsi="Arial" w:cs="Arial"/>
                <w:b/>
                <w:sz w:val="18"/>
                <w:szCs w:val="18"/>
              </w:rPr>
              <w:t>Element 1 – Accept the supervisory role</w:t>
            </w:r>
          </w:p>
        </w:tc>
      </w:tr>
      <w:tr w:rsidR="00E10391" w:rsidRPr="00F559B5" w:rsidTr="00A66271">
        <w:trPr>
          <w:cantSplit/>
        </w:trPr>
        <w:tc>
          <w:tcPr>
            <w:tcW w:w="3686" w:type="dxa"/>
            <w:shd w:val="clear" w:color="auto" w:fill="DBE5F1" w:themeFill="accent1" w:themeFillTint="33"/>
          </w:tcPr>
          <w:p w:rsidR="00E10391" w:rsidRPr="005B0D47" w:rsidRDefault="00D55C26" w:rsidP="00A66271">
            <w:pPr>
              <w:pStyle w:val="FootnoteText"/>
              <w:spacing w:before="40" w:after="40"/>
              <w:ind w:left="397" w:hanging="397"/>
              <w:rPr>
                <w:rFonts w:ascii="Arial" w:hAnsi="Arial" w:cs="Arial"/>
                <w:sz w:val="18"/>
                <w:szCs w:val="18"/>
              </w:rPr>
            </w:pPr>
            <w:r w:rsidRPr="00D55C26">
              <w:rPr>
                <w:rFonts w:ascii="Arial" w:hAnsi="Arial" w:cs="Arial"/>
                <w:sz w:val="18"/>
                <w:szCs w:val="18"/>
              </w:rPr>
              <w:t>1</w:t>
            </w:r>
            <w:r w:rsidRPr="00D55C26">
              <w:rPr>
                <w:rFonts w:ascii="Arial" w:hAnsi="Arial" w:cs="Arial"/>
                <w:sz w:val="18"/>
                <w:szCs w:val="18"/>
              </w:rPr>
              <w:tab/>
              <w:t>Understands the nature of supervision.</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the nature of the supervisory role, what is meant by direct supervision, and where responsibility for outputs and outcomes rests.</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2</w:t>
            </w:r>
            <w:r w:rsidRPr="00F559B5">
              <w:rPr>
                <w:rFonts w:ascii="Arial" w:hAnsi="Arial" w:cs="Arial"/>
                <w:sz w:val="18"/>
                <w:szCs w:val="18"/>
              </w:rPr>
              <w:tab/>
              <w:t>Accepts responsibility for supervising the work of colleagues.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discuss key issues for effectively supervising the work of colleagues.</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contribute to revision of the duty statements /job descriptions of supervised personnel.</w:t>
            </w:r>
          </w:p>
        </w:tc>
      </w:tr>
      <w:tr w:rsidR="00E10391" w:rsidRPr="00F559B5" w:rsidTr="00A66271">
        <w:trPr>
          <w:cantSplit/>
        </w:trPr>
        <w:tc>
          <w:tcPr>
            <w:tcW w:w="9923" w:type="dxa"/>
            <w:gridSpan w:val="2"/>
            <w:tcBorders>
              <w:bottom w:val="single" w:sz="4" w:space="0" w:color="auto"/>
            </w:tcBorders>
            <w:shd w:val="clear" w:color="auto" w:fill="FABF8F" w:themeFill="accent6" w:themeFillTint="99"/>
          </w:tcPr>
          <w:p w:rsidR="00E10391" w:rsidRPr="00F559B5" w:rsidRDefault="00E10391" w:rsidP="00A66271">
            <w:pPr>
              <w:spacing w:before="40" w:after="40"/>
              <w:ind w:left="284" w:hanging="284"/>
              <w:rPr>
                <w:rFonts w:ascii="Arial" w:hAnsi="Arial" w:cs="Arial"/>
                <w:b/>
                <w:sz w:val="18"/>
                <w:szCs w:val="18"/>
              </w:rPr>
            </w:pPr>
            <w:r w:rsidRPr="00F559B5">
              <w:rPr>
                <w:rFonts w:ascii="Arial" w:hAnsi="Arial" w:cs="Arial"/>
                <w:b/>
                <w:sz w:val="18"/>
                <w:szCs w:val="18"/>
              </w:rPr>
              <w:t>Element 2 – Delegate tasks</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1</w:t>
            </w:r>
            <w:r w:rsidRPr="00F559B5">
              <w:rPr>
                <w:rFonts w:ascii="Arial" w:hAnsi="Arial" w:cs="Arial"/>
                <w:sz w:val="18"/>
                <w:szCs w:val="18"/>
              </w:rPr>
              <w:tab/>
              <w:t xml:space="preserve">Ensures supervised personnel work within the limits of their competence </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describe the limitations in an individual’s skill or aptitude compared to the task requirements.</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recognise and describe the limitations applicable to delegation of specific tasks.</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2</w:t>
            </w:r>
            <w:r w:rsidRPr="00F559B5">
              <w:rPr>
                <w:rFonts w:ascii="Arial" w:hAnsi="Arial" w:cs="Arial"/>
                <w:sz w:val="18"/>
                <w:szCs w:val="18"/>
              </w:rPr>
              <w:tab/>
              <w:t>Defines and communicates delegated tasks and the expected performance to the personnel to whom it is delegated.</w:t>
            </w:r>
          </w:p>
        </w:tc>
        <w:tc>
          <w:tcPr>
            <w:tcW w:w="6237" w:type="dxa"/>
            <w:shd w:val="clear" w:color="auto" w:fill="DBE5F1" w:themeFill="accent1" w:themeFillTint="33"/>
          </w:tcPr>
          <w:p w:rsidR="000C48F1" w:rsidRDefault="00E10391">
            <w:pPr>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use effective communication to clearly describe the task to be </w:t>
            </w:r>
            <w:r w:rsidR="005B0D47">
              <w:rPr>
                <w:rFonts w:ascii="Arial" w:hAnsi="Arial" w:cs="Arial"/>
                <w:sz w:val="18"/>
                <w:szCs w:val="18"/>
              </w:rPr>
              <w:t>carried out</w:t>
            </w:r>
            <w:r w:rsidRPr="00F559B5">
              <w:rPr>
                <w:rFonts w:ascii="Arial" w:hAnsi="Arial" w:cs="Arial"/>
                <w:sz w:val="18"/>
                <w:szCs w:val="18"/>
              </w:rPr>
              <w:t xml:space="preserve"> and the expected performance.</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3</w:t>
            </w:r>
            <w:r w:rsidRPr="00F559B5">
              <w:rPr>
                <w:rFonts w:ascii="Arial" w:hAnsi="Arial" w:cs="Arial"/>
                <w:sz w:val="18"/>
                <w:szCs w:val="18"/>
              </w:rPr>
              <w:tab/>
              <w:t>Confirms that supervised personnel understand task requirements.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confirm understanding of task requirements (e.g. using questioning, listening and non-verbal cues).</w:t>
            </w:r>
          </w:p>
        </w:tc>
      </w:tr>
      <w:tr w:rsidR="00E10391" w:rsidRPr="00F559B5" w:rsidTr="00A66271">
        <w:trPr>
          <w:cantSplit/>
        </w:trPr>
        <w:tc>
          <w:tcPr>
            <w:tcW w:w="9923" w:type="dxa"/>
            <w:gridSpan w:val="2"/>
            <w:tcBorders>
              <w:bottom w:val="single" w:sz="4" w:space="0" w:color="auto"/>
            </w:tcBorders>
            <w:shd w:val="clear" w:color="auto" w:fill="FABF8F" w:themeFill="accent6" w:themeFillTint="99"/>
          </w:tcPr>
          <w:p w:rsidR="00E10391" w:rsidRPr="00F559B5" w:rsidRDefault="00E10391" w:rsidP="00A66271">
            <w:pPr>
              <w:spacing w:before="40" w:after="40"/>
              <w:ind w:left="284" w:hanging="284"/>
              <w:rPr>
                <w:rFonts w:ascii="Arial" w:hAnsi="Arial" w:cs="Arial"/>
                <w:b/>
                <w:sz w:val="18"/>
                <w:szCs w:val="18"/>
              </w:rPr>
            </w:pPr>
            <w:r w:rsidRPr="00F559B5">
              <w:rPr>
                <w:rFonts w:ascii="Arial" w:hAnsi="Arial" w:cs="Arial"/>
                <w:b/>
                <w:sz w:val="18"/>
                <w:szCs w:val="18"/>
              </w:rPr>
              <w:t>Element 3 – Assist the work of supervised personnel</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1</w:t>
            </w:r>
            <w:r w:rsidRPr="00F559B5">
              <w:rPr>
                <w:rFonts w:ascii="Arial" w:hAnsi="Arial" w:cs="Arial"/>
                <w:sz w:val="18"/>
                <w:szCs w:val="18"/>
              </w:rPr>
              <w:tab/>
              <w:t>Understands when supervised personnel may make autonomous decisions.</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situations where autonomous decision-making by supervised personnel would be appropriate/legally defensible.</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lastRenderedPageBreak/>
              <w:t>2</w:t>
            </w:r>
            <w:r w:rsidRPr="00F559B5">
              <w:rPr>
                <w:rFonts w:ascii="Arial" w:hAnsi="Arial" w:cs="Arial"/>
                <w:sz w:val="18"/>
                <w:szCs w:val="18"/>
              </w:rPr>
              <w:tab/>
              <w:t>Works with supervised personnel to establish priorities and</w:t>
            </w:r>
            <w:r w:rsidR="009579F3" w:rsidRPr="009579F3">
              <w:rPr>
                <w:rFonts w:ascii="Arial" w:hAnsi="Arial" w:cs="Arial"/>
                <w:sz w:val="18"/>
                <w:szCs w:val="18"/>
                <w:lang w:val="en-AU"/>
              </w:rPr>
              <w:t xml:space="preserve"> organise</w:t>
            </w:r>
            <w:r w:rsidRPr="00F559B5">
              <w:rPr>
                <w:rFonts w:ascii="Arial" w:hAnsi="Arial" w:cs="Arial"/>
                <w:sz w:val="18"/>
                <w:szCs w:val="18"/>
              </w:rPr>
              <w:t xml:space="preserve"> work flow.</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establish a clear priority order of work activities in the short term (daily to weekly) and medium to long term (monthly to annually) with supervised personnel.</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3</w:t>
            </w:r>
            <w:r w:rsidRPr="00F559B5">
              <w:rPr>
                <w:rFonts w:ascii="Arial" w:hAnsi="Arial" w:cs="Arial"/>
                <w:sz w:val="18"/>
                <w:szCs w:val="18"/>
              </w:rPr>
              <w:tab/>
              <w:t>Recognises situation where additional support and/or guidance is needed for supervised personnel.</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identify situations where supervised personnel are experiencing difficulties in completing work activities and/or where a mandatory notification obligation exists.</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signs/cues from supervised personnel that indicate additional guidance or support is needed (e.g. hesitancy, distress, seeks clarification from less authoritative sources).</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use initiative and apply professional expertise to resolve problems encountered by supervised personnel.</w:t>
            </w:r>
          </w:p>
        </w:tc>
      </w:tr>
      <w:tr w:rsidR="00E10391" w:rsidRPr="00F559B5" w:rsidTr="00A66271">
        <w:trPr>
          <w:cantSplit/>
        </w:trPr>
        <w:tc>
          <w:tcPr>
            <w:tcW w:w="3686" w:type="dxa"/>
            <w:tcBorders>
              <w:bottom w:val="single" w:sz="4" w:space="0" w:color="auto"/>
            </w:tcBorders>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4</w:t>
            </w:r>
            <w:r w:rsidRPr="00F559B5">
              <w:rPr>
                <w:rFonts w:ascii="Arial" w:hAnsi="Arial" w:cs="Arial"/>
                <w:sz w:val="18"/>
                <w:szCs w:val="18"/>
              </w:rPr>
              <w:tab/>
              <w:t>Ensures work practices of supervised personnel are consistent with their roles and comply with local policy and procedures.</w:t>
            </w:r>
          </w:p>
        </w:tc>
        <w:tc>
          <w:tcPr>
            <w:tcW w:w="6237" w:type="dxa"/>
            <w:tcBorders>
              <w:bottom w:val="single" w:sz="4" w:space="0" w:color="auto"/>
            </w:tcBorders>
            <w:shd w:val="clear" w:color="auto" w:fill="DBE5F1" w:themeFill="accent1" w:themeFillTint="33"/>
          </w:tcPr>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promptly access and explain policies and procedures applicable to or impacting on supervised work (e.g.</w:t>
            </w:r>
            <w:r>
              <w:rPr>
                <w:rFonts w:ascii="Arial" w:hAnsi="Arial" w:cs="Arial"/>
                <w:sz w:val="18"/>
                <w:szCs w:val="18"/>
              </w:rPr>
              <w:t xml:space="preserve"> </w:t>
            </w:r>
            <w:r w:rsidRPr="00F559B5">
              <w:rPr>
                <w:rFonts w:ascii="Arial" w:hAnsi="Arial" w:cs="Arial"/>
                <w:sz w:val="18"/>
                <w:szCs w:val="18"/>
              </w:rPr>
              <w:t>acquisition and management</w:t>
            </w:r>
            <w:r>
              <w:rPr>
                <w:rFonts w:ascii="Arial" w:hAnsi="Arial" w:cs="Arial"/>
                <w:sz w:val="18"/>
                <w:szCs w:val="18"/>
              </w:rPr>
              <w:t xml:space="preserve"> of raw materials and equipment,</w:t>
            </w:r>
            <w:r w:rsidRPr="00F559B5">
              <w:rPr>
                <w:rFonts w:ascii="Arial" w:hAnsi="Arial" w:cs="Arial"/>
                <w:sz w:val="18"/>
                <w:szCs w:val="18"/>
              </w:rPr>
              <w:t xml:space="preserve"> complaints handling, </w:t>
            </w:r>
            <w:r>
              <w:rPr>
                <w:rFonts w:ascii="Arial" w:hAnsi="Arial" w:cs="Arial"/>
                <w:sz w:val="18"/>
                <w:szCs w:val="18"/>
              </w:rPr>
              <w:t xml:space="preserve">and </w:t>
            </w:r>
            <w:r w:rsidRPr="00F559B5">
              <w:rPr>
                <w:rFonts w:ascii="Arial" w:hAnsi="Arial" w:cs="Arial"/>
                <w:sz w:val="18"/>
                <w:szCs w:val="18"/>
              </w:rPr>
              <w:t>waste disposal).</w:t>
            </w:r>
          </w:p>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describe the defined roles of supervised personnel.</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clearly explain policy and procedure changes to supervised personnel.</w:t>
            </w:r>
          </w:p>
        </w:tc>
      </w:tr>
      <w:tr w:rsidR="00E10391" w:rsidRPr="00F559B5" w:rsidTr="00A66271">
        <w:trPr>
          <w:cantSplit/>
        </w:trPr>
        <w:tc>
          <w:tcPr>
            <w:tcW w:w="9923" w:type="dxa"/>
            <w:gridSpan w:val="2"/>
            <w:tcBorders>
              <w:bottom w:val="single" w:sz="4" w:space="0" w:color="auto"/>
            </w:tcBorders>
            <w:shd w:val="clear" w:color="auto" w:fill="FABF8F" w:themeFill="accent6" w:themeFillTint="99"/>
          </w:tcPr>
          <w:p w:rsidR="00E10391" w:rsidRPr="00F559B5" w:rsidRDefault="00E10391" w:rsidP="00A66271">
            <w:pPr>
              <w:spacing w:before="40" w:after="40"/>
              <w:ind w:left="284" w:hanging="284"/>
              <w:rPr>
                <w:rFonts w:ascii="Arial" w:hAnsi="Arial" w:cs="Arial"/>
                <w:b/>
                <w:sz w:val="18"/>
                <w:szCs w:val="18"/>
              </w:rPr>
            </w:pPr>
            <w:r w:rsidRPr="00F559B5">
              <w:rPr>
                <w:rFonts w:ascii="Arial" w:hAnsi="Arial" w:cs="Arial"/>
                <w:b/>
                <w:sz w:val="18"/>
                <w:szCs w:val="18"/>
              </w:rPr>
              <w:t>Element 4 – Support improved performance of supervised personnel</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1</w:t>
            </w:r>
            <w:r w:rsidRPr="00F559B5">
              <w:rPr>
                <w:rFonts w:ascii="Arial" w:hAnsi="Arial" w:cs="Arial"/>
                <w:sz w:val="18"/>
                <w:szCs w:val="18"/>
              </w:rPr>
              <w:tab/>
              <w:t>Understands the performance assessment and management processes of the organisation.</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Ability to describe the performance assessment and management process within their organisation.</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2</w:t>
            </w:r>
            <w:r w:rsidRPr="00F559B5">
              <w:rPr>
                <w:rFonts w:ascii="Arial" w:hAnsi="Arial" w:cs="Arial"/>
                <w:sz w:val="18"/>
                <w:szCs w:val="18"/>
              </w:rPr>
              <w:tab/>
              <w:t>Monitors performance and contributes to the performance assessment of supervised personnel.</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discuss the key communication factors (e.g. sensitivity, tact and clarity), content issues (e.g. positive feedback, constructive comment, goals and strategies) and process issues (e.g. fair dealing and due process) relevant to providing performance feedback.</w:t>
            </w:r>
          </w:p>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describe the performance assessment documentation used for supervised personnel.</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3</w:t>
            </w:r>
            <w:r w:rsidRPr="00F559B5">
              <w:rPr>
                <w:rFonts w:ascii="Arial" w:hAnsi="Arial" w:cs="Arial"/>
                <w:sz w:val="18"/>
                <w:szCs w:val="18"/>
              </w:rPr>
              <w:tab/>
              <w:t>Provides constructive feedback to improve motivation and performance.</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discuss performance and offer constructive criticism and advice without engendering an adverse response.</w:t>
            </w:r>
          </w:p>
        </w:tc>
      </w:tr>
      <w:tr w:rsidR="00E10391" w:rsidRPr="00F559B5" w:rsidTr="00A66271">
        <w:trPr>
          <w:cantSplit/>
        </w:trPr>
        <w:tc>
          <w:tcPr>
            <w:tcW w:w="3686" w:type="dxa"/>
            <w:shd w:val="clear" w:color="auto" w:fill="DBE5F1" w:themeFill="accent1" w:themeFillTint="33"/>
          </w:tcPr>
          <w:p w:rsidR="00E10391" w:rsidRPr="00F559B5" w:rsidRDefault="00E10391" w:rsidP="00A66271">
            <w:pPr>
              <w:spacing w:before="40" w:after="40"/>
              <w:ind w:left="397" w:hanging="397"/>
              <w:rPr>
                <w:rFonts w:ascii="Arial" w:hAnsi="Arial" w:cs="Arial"/>
                <w:sz w:val="18"/>
                <w:szCs w:val="18"/>
              </w:rPr>
            </w:pPr>
            <w:r w:rsidRPr="00F559B5">
              <w:rPr>
                <w:rFonts w:ascii="Arial" w:hAnsi="Arial" w:cs="Arial"/>
                <w:sz w:val="18"/>
                <w:szCs w:val="18"/>
              </w:rPr>
              <w:t>4</w:t>
            </w:r>
            <w:r w:rsidRPr="00F559B5">
              <w:rPr>
                <w:rFonts w:ascii="Arial" w:hAnsi="Arial" w:cs="Arial"/>
                <w:sz w:val="18"/>
                <w:szCs w:val="18"/>
              </w:rPr>
              <w:tab/>
              <w:t>Assists the work performance of supervised personnel.</w:t>
            </w:r>
          </w:p>
        </w:tc>
        <w:tc>
          <w:tcPr>
            <w:tcW w:w="6237" w:type="dxa"/>
            <w:shd w:val="clear" w:color="auto" w:fill="DBE5F1" w:themeFill="accent1" w:themeFillTint="33"/>
          </w:tcPr>
          <w:p w:rsidR="00E10391" w:rsidRPr="00F559B5" w:rsidRDefault="00E10391" w:rsidP="00E10391">
            <w:pPr>
              <w:numPr>
                <w:ilvl w:val="0"/>
                <w:numId w:val="24"/>
              </w:numPr>
              <w:spacing w:before="40" w:after="40"/>
              <w:ind w:left="284" w:hanging="284"/>
              <w:rPr>
                <w:rFonts w:ascii="Arial" w:hAnsi="Arial" w:cs="Arial"/>
                <w:sz w:val="18"/>
                <w:szCs w:val="18"/>
              </w:rPr>
            </w:pPr>
            <w:r w:rsidRPr="00F559B5">
              <w:rPr>
                <w:rFonts w:ascii="Arial" w:hAnsi="Arial" w:cs="Arial"/>
                <w:sz w:val="18"/>
                <w:szCs w:val="18"/>
              </w:rPr>
              <w:t>Ability to identify resources, training or personal support that can be provided to facilitate performance improvement in supervised personnel.</w:t>
            </w:r>
          </w:p>
          <w:p w:rsidR="00E10391" w:rsidRPr="00F559B5" w:rsidRDefault="00E10391" w:rsidP="00E10391">
            <w:pPr>
              <w:numPr>
                <w:ilvl w:val="0"/>
                <w:numId w:val="24"/>
              </w:numPr>
              <w:spacing w:before="40" w:after="40"/>
              <w:ind w:left="284"/>
              <w:rPr>
                <w:rFonts w:ascii="Arial" w:hAnsi="Arial" w:cs="Arial"/>
                <w:sz w:val="18"/>
                <w:szCs w:val="18"/>
              </w:rPr>
            </w:pPr>
            <w:r w:rsidRPr="00F559B5">
              <w:rPr>
                <w:rFonts w:ascii="Arial" w:hAnsi="Arial" w:cs="Arial"/>
                <w:sz w:val="18"/>
                <w:szCs w:val="18"/>
              </w:rPr>
              <w:t xml:space="preserve">Ability to contribute to workplace training programs </w:t>
            </w:r>
            <w:r>
              <w:rPr>
                <w:rFonts w:ascii="Arial" w:hAnsi="Arial" w:cs="Arial"/>
                <w:sz w:val="18"/>
                <w:szCs w:val="18"/>
              </w:rPr>
              <w:t xml:space="preserve">relevant to complex compounding </w:t>
            </w:r>
            <w:r w:rsidRPr="00F559B5">
              <w:rPr>
                <w:rFonts w:ascii="Arial" w:hAnsi="Arial" w:cs="Arial"/>
                <w:sz w:val="18"/>
                <w:szCs w:val="18"/>
              </w:rPr>
              <w:t>for supervised personnel.</w:t>
            </w:r>
          </w:p>
        </w:tc>
      </w:tr>
    </w:tbl>
    <w:p w:rsidR="00E10391" w:rsidRDefault="00E10391" w:rsidP="00E10391">
      <w:pPr>
        <w:rPr>
          <w:rFonts w:ascii="Arial" w:hAnsi="Arial" w:cs="Arial"/>
          <w:sz w:val="18"/>
          <w:szCs w:val="18"/>
        </w:rPr>
      </w:pPr>
    </w:p>
    <w:p w:rsidR="00E10391" w:rsidRDefault="00E10391" w:rsidP="00E10391">
      <w:pPr>
        <w:rPr>
          <w:rFonts w:ascii="Arial" w:hAnsi="Arial" w:cs="Arial"/>
          <w:sz w:val="18"/>
          <w:szCs w:val="18"/>
        </w:rPr>
      </w:pPr>
    </w:p>
    <w:p w:rsidR="00E10391" w:rsidRPr="00D80945" w:rsidRDefault="00E10391" w:rsidP="00E10391">
      <w:pPr>
        <w:pStyle w:val="Heading2"/>
        <w:jc w:val="center"/>
        <w:rPr>
          <w:rFonts w:ascii="Arial" w:hAnsi="Arial" w:cs="Arial"/>
          <w:i w:val="0"/>
        </w:rPr>
      </w:pPr>
      <w:bookmarkStart w:id="20" w:name="_Toc377638242"/>
      <w:r w:rsidRPr="00D80945">
        <w:rPr>
          <w:rFonts w:ascii="Arial" w:hAnsi="Arial" w:cs="Arial"/>
          <w:i w:val="0"/>
          <w:color w:val="FF0000"/>
        </w:rPr>
        <w:t>Domain 4:</w:t>
      </w:r>
      <w:r w:rsidRPr="00D80945">
        <w:rPr>
          <w:rFonts w:ascii="Arial" w:hAnsi="Arial" w:cs="Arial"/>
          <w:i w:val="0"/>
        </w:rPr>
        <w:t xml:space="preserve"> Review and supply prescribed medicines</w:t>
      </w:r>
      <w:bookmarkEnd w:id="20"/>
    </w:p>
    <w:p w:rsidR="00E10391" w:rsidRPr="00D80945" w:rsidRDefault="00E10391" w:rsidP="00E10391">
      <w:pPr>
        <w:pStyle w:val="Heading3"/>
        <w:rPr>
          <w:rFonts w:ascii="Arial" w:hAnsi="Arial" w:cs="Arial"/>
        </w:rPr>
      </w:pPr>
      <w:bookmarkStart w:id="21" w:name="_Toc377638243"/>
      <w:r w:rsidRPr="00D80945">
        <w:rPr>
          <w:rFonts w:ascii="Arial" w:hAnsi="Arial" w:cs="Arial"/>
          <w:color w:val="FF0000"/>
        </w:rPr>
        <w:t>Standard 4.1</w:t>
      </w:r>
      <w:r w:rsidRPr="00D80945">
        <w:rPr>
          <w:rFonts w:ascii="Arial" w:hAnsi="Arial" w:cs="Arial"/>
        </w:rPr>
        <w:t xml:space="preserve"> Undertake initial prescription assessment</w:t>
      </w:r>
      <w:bookmarkEnd w:id="21"/>
    </w:p>
    <w:p w:rsidR="00E10391" w:rsidRPr="00D275D1" w:rsidRDefault="00E10391" w:rsidP="00E10391">
      <w:pPr>
        <w:rPr>
          <w:rFonts w:ascii="Arial" w:hAnsi="Arial" w:cs="Arial"/>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237"/>
      </w:tblGrid>
      <w:tr w:rsidR="00E10391" w:rsidRPr="00D275D1" w:rsidTr="00A66271">
        <w:trPr>
          <w:cantSplit/>
          <w:tblHeader/>
        </w:trPr>
        <w:tc>
          <w:tcPr>
            <w:tcW w:w="3686" w:type="dxa"/>
            <w:tcBorders>
              <w:bottom w:val="single" w:sz="4" w:space="0" w:color="auto"/>
            </w:tcBorders>
            <w:shd w:val="clear" w:color="auto" w:fill="548DD4" w:themeFill="text2" w:themeFillTint="99"/>
          </w:tcPr>
          <w:p w:rsidR="00E10391" w:rsidRPr="005B0D47" w:rsidRDefault="00D55C26" w:rsidP="00186360">
            <w:pPr>
              <w:spacing w:before="40" w:after="40"/>
              <w:ind w:left="567" w:hanging="567"/>
              <w:rPr>
                <w:rFonts w:ascii="Arial" w:hAnsi="Arial" w:cs="Arial"/>
                <w:b/>
                <w:sz w:val="18"/>
                <w:szCs w:val="18"/>
              </w:rPr>
            </w:pPr>
            <w:r w:rsidRPr="00D55C26">
              <w:rPr>
                <w:rFonts w:ascii="Arial" w:hAnsi="Arial" w:cs="Arial"/>
                <w:b/>
                <w:sz w:val="18"/>
                <w:szCs w:val="18"/>
              </w:rPr>
              <w:t xml:space="preserve">Performance </w:t>
            </w:r>
            <w:r w:rsidR="00186360">
              <w:rPr>
                <w:rFonts w:ascii="Arial" w:hAnsi="Arial" w:cs="Arial"/>
                <w:b/>
                <w:sz w:val="18"/>
                <w:szCs w:val="18"/>
              </w:rPr>
              <w:t>c</w:t>
            </w:r>
            <w:r w:rsidRPr="00D55C26">
              <w:rPr>
                <w:rFonts w:ascii="Arial" w:hAnsi="Arial" w:cs="Arial"/>
                <w:b/>
                <w:sz w:val="18"/>
                <w:szCs w:val="18"/>
              </w:rPr>
              <w:t>riteria</w:t>
            </w:r>
          </w:p>
        </w:tc>
        <w:tc>
          <w:tcPr>
            <w:tcW w:w="6237" w:type="dxa"/>
            <w:tcBorders>
              <w:bottom w:val="single" w:sz="4" w:space="0" w:color="auto"/>
            </w:tcBorders>
            <w:shd w:val="clear" w:color="auto" w:fill="548DD4" w:themeFill="text2" w:themeFillTint="99"/>
          </w:tcPr>
          <w:p w:rsidR="00E10391" w:rsidRPr="005B0D47" w:rsidRDefault="00D55C26" w:rsidP="00186360">
            <w:pPr>
              <w:spacing w:before="40" w:after="40"/>
              <w:ind w:left="284" w:hanging="284"/>
              <w:rPr>
                <w:rFonts w:ascii="Arial" w:hAnsi="Arial" w:cs="Arial"/>
                <w:b/>
                <w:sz w:val="18"/>
                <w:szCs w:val="18"/>
              </w:rPr>
            </w:pPr>
            <w:r w:rsidRPr="00D55C26">
              <w:rPr>
                <w:rFonts w:ascii="Arial" w:hAnsi="Arial" w:cs="Arial"/>
                <w:b/>
                <w:sz w:val="18"/>
                <w:szCs w:val="18"/>
              </w:rPr>
              <w:t xml:space="preserve">Evidence </w:t>
            </w:r>
            <w:r w:rsidR="00186360">
              <w:rPr>
                <w:rFonts w:ascii="Arial" w:hAnsi="Arial" w:cs="Arial"/>
                <w:b/>
                <w:sz w:val="18"/>
                <w:szCs w:val="18"/>
              </w:rPr>
              <w:t>e</w:t>
            </w:r>
            <w:r w:rsidRPr="00D55C26">
              <w:rPr>
                <w:rFonts w:ascii="Arial" w:hAnsi="Arial" w:cs="Arial"/>
                <w:b/>
                <w:sz w:val="18"/>
                <w:szCs w:val="18"/>
              </w:rPr>
              <w:t>xamples</w:t>
            </w:r>
          </w:p>
        </w:tc>
      </w:tr>
      <w:tr w:rsidR="00E10391" w:rsidRPr="00F83B6B" w:rsidTr="00A66271">
        <w:trPr>
          <w:cantSplit/>
        </w:trPr>
        <w:tc>
          <w:tcPr>
            <w:tcW w:w="9923" w:type="dxa"/>
            <w:gridSpan w:val="2"/>
            <w:tcBorders>
              <w:bottom w:val="single" w:sz="4" w:space="0" w:color="auto"/>
            </w:tcBorders>
            <w:shd w:val="clear" w:color="auto" w:fill="FABF8F" w:themeFill="accent6" w:themeFillTint="99"/>
          </w:tcPr>
          <w:p w:rsidR="00E10391" w:rsidRPr="00F83B6B" w:rsidRDefault="00E10391" w:rsidP="00A66271">
            <w:pPr>
              <w:spacing w:before="40" w:after="40"/>
              <w:ind w:left="284" w:hanging="284"/>
              <w:rPr>
                <w:rFonts w:ascii="Arial" w:hAnsi="Arial" w:cs="Arial"/>
                <w:b/>
                <w:sz w:val="18"/>
                <w:szCs w:val="18"/>
              </w:rPr>
            </w:pPr>
            <w:r w:rsidRPr="00F83B6B">
              <w:rPr>
                <w:rFonts w:ascii="Arial" w:hAnsi="Arial" w:cs="Arial"/>
                <w:b/>
                <w:sz w:val="18"/>
                <w:szCs w:val="18"/>
              </w:rPr>
              <w:t>Element 1 – Validate prescriptions</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1</w:t>
            </w:r>
            <w:r w:rsidRPr="00F83B6B">
              <w:rPr>
                <w:rFonts w:ascii="Arial" w:hAnsi="Arial" w:cs="Arial"/>
                <w:sz w:val="18"/>
                <w:szCs w:val="18"/>
              </w:rPr>
              <w:tab/>
              <w:t>Confirms that prescriptions are authentic and comply with legal requirements and professional conventions.</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explain the key legal requirements of a valid prescription as specified by relevant </w:t>
            </w:r>
            <w:r w:rsidR="005B0D47">
              <w:rPr>
                <w:rFonts w:ascii="Arial" w:hAnsi="Arial" w:cs="Arial"/>
                <w:sz w:val="18"/>
                <w:szCs w:val="18"/>
              </w:rPr>
              <w:t>s</w:t>
            </w:r>
            <w:r w:rsidRPr="00F83B6B">
              <w:rPr>
                <w:rFonts w:ascii="Arial" w:hAnsi="Arial" w:cs="Arial"/>
                <w:sz w:val="18"/>
                <w:szCs w:val="18"/>
              </w:rPr>
              <w:t xml:space="preserve">tate or </w:t>
            </w:r>
            <w:r w:rsidR="005B0D47">
              <w:rPr>
                <w:rFonts w:ascii="Arial" w:hAnsi="Arial" w:cs="Arial"/>
                <w:sz w:val="18"/>
                <w:szCs w:val="18"/>
              </w:rPr>
              <w:t>t</w:t>
            </w:r>
            <w:r w:rsidRPr="00F83B6B">
              <w:rPr>
                <w:rFonts w:ascii="Arial" w:hAnsi="Arial" w:cs="Arial"/>
                <w:sz w:val="18"/>
                <w:szCs w:val="18"/>
              </w:rPr>
              <w:t>erritory legislation.</w:t>
            </w:r>
          </w:p>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describe and/or promptly access information on the professional conventions and obligations applicable to dispensing prescriptions, including those for medicines that are subsidised under the Pharmaceutical Benefits Scheme (PBS).</w:t>
            </w:r>
          </w:p>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describe or demonstrate a verification/confirmation process for prescriptions received orally (e.g. by telephone) or electronically.</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lastRenderedPageBreak/>
              <w:t>2</w:t>
            </w:r>
            <w:r w:rsidRPr="00F83B6B">
              <w:rPr>
                <w:rFonts w:ascii="Arial" w:hAnsi="Arial" w:cs="Arial"/>
                <w:sz w:val="18"/>
                <w:szCs w:val="18"/>
              </w:rPr>
              <w:tab/>
              <w:t>Acts to ensure fraudulent or illegal prescriptions are not dispensed.</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describe substances/medicines that are known to be subject to abuse or intentional misuse.</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recognise or describe signs of prescription fraud.</w:t>
            </w:r>
          </w:p>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describe and/or demonstrate use of a system to respond where a prescription is suspected of being fraudulent or is deemed illegal.</w:t>
            </w:r>
          </w:p>
        </w:tc>
      </w:tr>
      <w:tr w:rsidR="00E10391" w:rsidRPr="00F83B6B" w:rsidTr="00A66271">
        <w:trPr>
          <w:cantSplit/>
        </w:trPr>
        <w:tc>
          <w:tcPr>
            <w:tcW w:w="9923" w:type="dxa"/>
            <w:gridSpan w:val="2"/>
            <w:tcBorders>
              <w:bottom w:val="single" w:sz="4" w:space="0" w:color="auto"/>
            </w:tcBorders>
            <w:shd w:val="clear" w:color="auto" w:fill="FABF8F" w:themeFill="accent6" w:themeFillTint="99"/>
          </w:tcPr>
          <w:p w:rsidR="00E10391" w:rsidRPr="00F83B6B" w:rsidRDefault="00E10391" w:rsidP="00A66271">
            <w:pPr>
              <w:keepNext/>
              <w:spacing w:before="40" w:after="40"/>
              <w:ind w:left="284" w:hanging="284"/>
              <w:rPr>
                <w:rFonts w:ascii="Arial" w:hAnsi="Arial" w:cs="Arial"/>
                <w:b/>
                <w:sz w:val="18"/>
                <w:szCs w:val="18"/>
              </w:rPr>
            </w:pPr>
            <w:r w:rsidRPr="00F83B6B">
              <w:rPr>
                <w:rFonts w:ascii="Arial" w:hAnsi="Arial" w:cs="Arial"/>
                <w:b/>
                <w:sz w:val="18"/>
                <w:szCs w:val="18"/>
              </w:rPr>
              <w:t>Element 2 – Clarify medication orders</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1</w:t>
            </w:r>
            <w:r w:rsidRPr="00F83B6B">
              <w:rPr>
                <w:rFonts w:ascii="Arial" w:hAnsi="Arial" w:cs="Arial"/>
                <w:sz w:val="18"/>
                <w:szCs w:val="18"/>
              </w:rPr>
              <w:tab/>
              <w:t>Ensures prescriptions are accurate and complete and clearly communicate the prescriber’s intended treatment.</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identify and justify the need for additional information (e.g. age or weight of consumer, dose or dosing instructions) to be obtained from consumer/carer or prescriber.</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2</w:t>
            </w:r>
            <w:r w:rsidRPr="00F83B6B">
              <w:rPr>
                <w:rFonts w:ascii="Arial" w:hAnsi="Arial" w:cs="Arial"/>
                <w:sz w:val="18"/>
                <w:szCs w:val="18"/>
              </w:rPr>
              <w:tab/>
              <w:t>Liaises with the prescriber and/or the consumer/carer to obtain additional information as required.</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clarify the prescribers intended treatment through liaison with the prescriber.</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maintain professional rapport with the consumer/carer and prescriber when making enquiries relevant to the prescription.</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pStyle w:val="Header"/>
              <w:spacing w:before="40" w:after="40"/>
              <w:ind w:left="397" w:hanging="397"/>
              <w:rPr>
                <w:rFonts w:ascii="Arial" w:hAnsi="Arial" w:cs="Arial"/>
                <w:sz w:val="18"/>
                <w:szCs w:val="18"/>
              </w:rPr>
            </w:pPr>
            <w:r w:rsidRPr="00F83B6B">
              <w:rPr>
                <w:rFonts w:ascii="Arial" w:hAnsi="Arial" w:cs="Arial"/>
                <w:sz w:val="18"/>
                <w:szCs w:val="18"/>
              </w:rPr>
              <w:t>3</w:t>
            </w:r>
            <w:r w:rsidRPr="00F83B6B">
              <w:rPr>
                <w:rFonts w:ascii="Arial" w:hAnsi="Arial" w:cs="Arial"/>
                <w:sz w:val="18"/>
                <w:szCs w:val="18"/>
              </w:rPr>
              <w:tab/>
              <w:t>Annotates prescriptions in accordance with legal requirements and professional conventions.</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 xml:space="preserve">Ability to describe legal requirements and professional conventions for annotating prescriptions </w:t>
            </w:r>
            <w:r>
              <w:rPr>
                <w:rFonts w:ascii="Arial" w:hAnsi="Arial" w:cs="Arial"/>
                <w:sz w:val="18"/>
                <w:szCs w:val="18"/>
              </w:rPr>
              <w:t xml:space="preserve">for complex compounded products </w:t>
            </w:r>
            <w:r w:rsidRPr="00F83B6B">
              <w:rPr>
                <w:rFonts w:ascii="Arial" w:hAnsi="Arial" w:cs="Arial"/>
                <w:sz w:val="18"/>
                <w:szCs w:val="18"/>
              </w:rPr>
              <w:t>(e.g. annotations clearly distinguishable from the writing of the prescriber and their source identified).</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w:t>
            </w:r>
            <w:r w:rsidRPr="00F83B6B" w:rsidDel="00DD2166">
              <w:rPr>
                <w:rFonts w:ascii="Arial" w:hAnsi="Arial" w:cs="Arial"/>
                <w:sz w:val="18"/>
                <w:szCs w:val="18"/>
              </w:rPr>
              <w:t>to clearly annotate prescription</w:t>
            </w:r>
            <w:r w:rsidRPr="00F83B6B">
              <w:rPr>
                <w:rFonts w:ascii="Arial" w:hAnsi="Arial" w:cs="Arial"/>
                <w:sz w:val="18"/>
                <w:szCs w:val="18"/>
              </w:rPr>
              <w:t>s</w:t>
            </w:r>
            <w:r w:rsidRPr="00F83B6B" w:rsidDel="00DD2166">
              <w:rPr>
                <w:rFonts w:ascii="Arial" w:hAnsi="Arial" w:cs="Arial"/>
                <w:sz w:val="18"/>
                <w:szCs w:val="18"/>
              </w:rPr>
              <w:t xml:space="preserve"> </w:t>
            </w:r>
            <w:r w:rsidRPr="00F83B6B">
              <w:rPr>
                <w:rFonts w:ascii="Arial" w:hAnsi="Arial" w:cs="Arial"/>
                <w:sz w:val="18"/>
                <w:szCs w:val="18"/>
              </w:rPr>
              <w:t>to show</w:t>
            </w:r>
            <w:r w:rsidRPr="00F83B6B" w:rsidDel="00DD2166">
              <w:rPr>
                <w:rFonts w:ascii="Arial" w:hAnsi="Arial" w:cs="Arial"/>
                <w:sz w:val="18"/>
                <w:szCs w:val="18"/>
              </w:rPr>
              <w:t xml:space="preserve"> information that has been obtained from the prescriber</w:t>
            </w:r>
            <w:r w:rsidRPr="00F83B6B">
              <w:rPr>
                <w:rFonts w:ascii="Arial" w:hAnsi="Arial" w:cs="Arial"/>
                <w:sz w:val="18"/>
                <w:szCs w:val="18"/>
              </w:rPr>
              <w:t xml:space="preserve"> and/or consumer/carer</w:t>
            </w:r>
            <w:r>
              <w:rPr>
                <w:rFonts w:ascii="Arial" w:hAnsi="Arial" w:cs="Arial"/>
                <w:sz w:val="18"/>
                <w:szCs w:val="18"/>
              </w:rPr>
              <w:t xml:space="preserve"> and any decisions taken in relation to the compounded product to be provided</w:t>
            </w:r>
            <w:r w:rsidRPr="00F83B6B" w:rsidDel="00DD2166">
              <w:rPr>
                <w:rFonts w:ascii="Arial" w:hAnsi="Arial" w:cs="Arial"/>
                <w:sz w:val="18"/>
                <w:szCs w:val="18"/>
              </w:rPr>
              <w:t>.</w:t>
            </w:r>
          </w:p>
        </w:tc>
      </w:tr>
      <w:tr w:rsidR="00E10391" w:rsidRPr="00F83B6B" w:rsidTr="00A66271">
        <w:trPr>
          <w:cantSplit/>
        </w:trPr>
        <w:tc>
          <w:tcPr>
            <w:tcW w:w="9923" w:type="dxa"/>
            <w:gridSpan w:val="2"/>
            <w:tcBorders>
              <w:bottom w:val="single" w:sz="4" w:space="0" w:color="auto"/>
            </w:tcBorders>
            <w:shd w:val="clear" w:color="auto" w:fill="FABF8F" w:themeFill="accent6" w:themeFillTint="99"/>
          </w:tcPr>
          <w:p w:rsidR="00E10391" w:rsidRPr="00F83B6B" w:rsidRDefault="00E10391" w:rsidP="00A66271">
            <w:pPr>
              <w:spacing w:before="40" w:after="40"/>
              <w:ind w:left="284" w:hanging="284"/>
              <w:rPr>
                <w:rFonts w:ascii="Arial" w:hAnsi="Arial" w:cs="Arial"/>
                <w:b/>
                <w:sz w:val="18"/>
                <w:szCs w:val="18"/>
              </w:rPr>
            </w:pPr>
            <w:r w:rsidRPr="00F83B6B">
              <w:rPr>
                <w:rFonts w:ascii="Arial" w:hAnsi="Arial" w:cs="Arial"/>
                <w:b/>
                <w:sz w:val="18"/>
                <w:szCs w:val="18"/>
              </w:rPr>
              <w:t>Element 3 – Confirm availability of medicines</w:t>
            </w:r>
          </w:p>
        </w:tc>
      </w:tr>
      <w:tr w:rsidR="00E10391" w:rsidRPr="00F83B6B" w:rsidTr="00A66271">
        <w:trPr>
          <w:cantSplit/>
        </w:trPr>
        <w:tc>
          <w:tcPr>
            <w:tcW w:w="3686" w:type="dxa"/>
            <w:tcBorders>
              <w:bottom w:val="single" w:sz="4" w:space="0" w:color="auto"/>
            </w:tcBorders>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1</w:t>
            </w:r>
            <w:r w:rsidRPr="00F83B6B">
              <w:rPr>
                <w:rFonts w:ascii="Arial" w:hAnsi="Arial" w:cs="Arial"/>
                <w:sz w:val="18"/>
                <w:szCs w:val="18"/>
              </w:rPr>
              <w:tab/>
              <w:t>Establishes any special circumstances or supply arrangements impacting on availability of the prescribed medicine.</w:t>
            </w:r>
          </w:p>
        </w:tc>
        <w:tc>
          <w:tcPr>
            <w:tcW w:w="6237" w:type="dxa"/>
            <w:tcBorders>
              <w:bottom w:val="single" w:sz="4" w:space="0" w:color="auto"/>
            </w:tcBorders>
            <w:shd w:val="clear" w:color="auto" w:fill="DBE5F1" w:themeFill="accent1" w:themeFillTint="33"/>
          </w:tcPr>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 xml:space="preserve">Ability to describe the requirements applicable to medicines with specific supply arrangements (e.g. </w:t>
            </w:r>
            <w:r>
              <w:rPr>
                <w:rFonts w:ascii="Arial" w:hAnsi="Arial" w:cs="Arial"/>
                <w:sz w:val="18"/>
                <w:szCs w:val="18"/>
              </w:rPr>
              <w:t xml:space="preserve">the supply and pricing of </w:t>
            </w:r>
            <w:r w:rsidRPr="00F83B6B">
              <w:rPr>
                <w:rFonts w:ascii="Arial" w:hAnsi="Arial" w:cs="Arial"/>
                <w:sz w:val="18"/>
                <w:szCs w:val="18"/>
              </w:rPr>
              <w:t>private prescriptions</w:t>
            </w:r>
            <w:r>
              <w:rPr>
                <w:rFonts w:ascii="Arial" w:hAnsi="Arial" w:cs="Arial"/>
                <w:sz w:val="18"/>
                <w:szCs w:val="18"/>
              </w:rPr>
              <w:t xml:space="preserve"> for complex compounded products</w:t>
            </w:r>
            <w:r w:rsidRPr="00F83B6B">
              <w:rPr>
                <w:rFonts w:ascii="Arial" w:hAnsi="Arial" w:cs="Arial"/>
                <w:sz w:val="18"/>
                <w:szCs w:val="18"/>
              </w:rPr>
              <w:t>).</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2</w:t>
            </w:r>
            <w:r w:rsidRPr="00F83B6B">
              <w:rPr>
                <w:rFonts w:ascii="Arial" w:hAnsi="Arial" w:cs="Arial"/>
                <w:sz w:val="18"/>
                <w:szCs w:val="18"/>
              </w:rPr>
              <w:tab/>
              <w:t>Identifies suitable products held in stock or available from a supplier.</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use authoritative reference sources and supplier catalogues to clarify required </w:t>
            </w:r>
            <w:r>
              <w:rPr>
                <w:rFonts w:ascii="Arial" w:hAnsi="Arial" w:cs="Arial"/>
                <w:sz w:val="18"/>
                <w:szCs w:val="18"/>
              </w:rPr>
              <w:t>product ingredients</w:t>
            </w:r>
            <w:r w:rsidRPr="00F83B6B">
              <w:rPr>
                <w:rFonts w:ascii="Arial" w:hAnsi="Arial" w:cs="Arial"/>
                <w:sz w:val="18"/>
                <w:szCs w:val="18"/>
              </w:rPr>
              <w:t xml:space="preserve"> and </w:t>
            </w:r>
            <w:r>
              <w:rPr>
                <w:rFonts w:ascii="Arial" w:hAnsi="Arial" w:cs="Arial"/>
                <w:sz w:val="18"/>
                <w:szCs w:val="18"/>
              </w:rPr>
              <w:t>their</w:t>
            </w:r>
            <w:r w:rsidRPr="00F83B6B">
              <w:rPr>
                <w:rFonts w:ascii="Arial" w:hAnsi="Arial" w:cs="Arial"/>
                <w:sz w:val="18"/>
                <w:szCs w:val="18"/>
              </w:rPr>
              <w:t xml:space="preserve"> availability.</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3</w:t>
            </w:r>
            <w:r w:rsidRPr="00F83B6B">
              <w:rPr>
                <w:rFonts w:ascii="Arial" w:hAnsi="Arial" w:cs="Arial"/>
                <w:sz w:val="18"/>
                <w:szCs w:val="18"/>
              </w:rPr>
              <w:tab/>
              <w:t>Liaises with prescribers to identify suitable alternative products where supply difficulties are apparent.</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identify and justify the choice of a therapeutic alternative where a prescribed product cannot be obtained.</w:t>
            </w:r>
          </w:p>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discuss suitable alternative medicines/therapies with prescribers.</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4</w:t>
            </w:r>
            <w:r w:rsidRPr="00F83B6B">
              <w:rPr>
                <w:rFonts w:ascii="Arial" w:hAnsi="Arial" w:cs="Arial"/>
                <w:sz w:val="18"/>
                <w:szCs w:val="18"/>
              </w:rPr>
              <w:tab/>
              <w:t>Accepts responsibility for advising consumers/carers of reasons for any delay in supply of medicines and the actions taken to assure continuity of care.</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clearly explain to consumers/carers the cause of, and actions underway to minimise, delays in supply.</w:t>
            </w:r>
          </w:p>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describe the documentation and processes used to follow up on deferred supply prescription medicines and keep the prescriber and consumer informed.</w:t>
            </w:r>
          </w:p>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describe measures or options for working with the consumer/carer to assure continuity of care consistent with clinical need.</w:t>
            </w:r>
          </w:p>
        </w:tc>
      </w:tr>
    </w:tbl>
    <w:p w:rsidR="00E10391" w:rsidRPr="00F83B6B" w:rsidRDefault="00E10391" w:rsidP="00E10391">
      <w:pPr>
        <w:rPr>
          <w:rFonts w:ascii="Arial" w:hAnsi="Arial" w:cs="Arial"/>
          <w:sz w:val="18"/>
          <w:szCs w:val="18"/>
        </w:rPr>
      </w:pPr>
    </w:p>
    <w:p w:rsidR="00E10391" w:rsidRPr="00F83B6B" w:rsidRDefault="00E10391" w:rsidP="00E10391">
      <w:pPr>
        <w:rPr>
          <w:rFonts w:ascii="Arial" w:hAnsi="Arial" w:cs="Arial"/>
          <w:sz w:val="18"/>
          <w:szCs w:val="18"/>
        </w:rPr>
      </w:pPr>
    </w:p>
    <w:p w:rsidR="00E10391" w:rsidRPr="00D80945" w:rsidRDefault="00E10391" w:rsidP="00E10391">
      <w:pPr>
        <w:pStyle w:val="Heading3"/>
        <w:rPr>
          <w:rFonts w:ascii="Arial" w:hAnsi="Arial" w:cs="Arial"/>
        </w:rPr>
      </w:pPr>
      <w:bookmarkStart w:id="22" w:name="_Toc377638244"/>
      <w:r w:rsidRPr="00D80945">
        <w:rPr>
          <w:rFonts w:ascii="Arial" w:hAnsi="Arial" w:cs="Arial"/>
          <w:color w:val="FF0000"/>
        </w:rPr>
        <w:t xml:space="preserve">Standard 4.2 </w:t>
      </w:r>
      <w:r w:rsidRPr="00D80945">
        <w:rPr>
          <w:rFonts w:ascii="Arial" w:hAnsi="Arial" w:cs="Arial"/>
        </w:rPr>
        <w:t>Consider the appropriateness of prescribed medicines</w:t>
      </w:r>
      <w:bookmarkEnd w:id="22"/>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237"/>
      </w:tblGrid>
      <w:tr w:rsidR="00E10391" w:rsidRPr="00F83B6B" w:rsidTr="00A66271">
        <w:trPr>
          <w:cantSplit/>
          <w:tblHeader/>
        </w:trPr>
        <w:tc>
          <w:tcPr>
            <w:tcW w:w="3686" w:type="dxa"/>
            <w:tcBorders>
              <w:top w:val="nil"/>
              <w:left w:val="nil"/>
              <w:right w:val="nil"/>
            </w:tcBorders>
          </w:tcPr>
          <w:p w:rsidR="00E10391" w:rsidRDefault="00E10391" w:rsidP="00A66271"/>
        </w:tc>
        <w:tc>
          <w:tcPr>
            <w:tcW w:w="6237" w:type="dxa"/>
            <w:tcBorders>
              <w:top w:val="nil"/>
              <w:left w:val="nil"/>
              <w:right w:val="nil"/>
            </w:tcBorders>
          </w:tcPr>
          <w:p w:rsidR="00E10391" w:rsidRPr="00F83B6B" w:rsidRDefault="00E10391" w:rsidP="00A66271">
            <w:pPr>
              <w:keepNext/>
              <w:spacing w:before="40" w:after="40"/>
              <w:ind w:left="284" w:hanging="284"/>
              <w:jc w:val="right"/>
              <w:rPr>
                <w:rFonts w:ascii="Arial" w:hAnsi="Arial" w:cs="Arial"/>
                <w:b/>
                <w:i/>
                <w:sz w:val="18"/>
                <w:szCs w:val="18"/>
              </w:rPr>
            </w:pPr>
          </w:p>
        </w:tc>
      </w:tr>
      <w:tr w:rsidR="00E10391" w:rsidRPr="00F83B6B" w:rsidTr="00A66271">
        <w:trPr>
          <w:cantSplit/>
          <w:tblHeader/>
        </w:trPr>
        <w:tc>
          <w:tcPr>
            <w:tcW w:w="3686" w:type="dxa"/>
            <w:tcBorders>
              <w:bottom w:val="single" w:sz="4" w:space="0" w:color="auto"/>
            </w:tcBorders>
            <w:shd w:val="clear" w:color="auto" w:fill="548DD4" w:themeFill="text2" w:themeFillTint="99"/>
          </w:tcPr>
          <w:p w:rsidR="00E10391" w:rsidRPr="00F83B6B" w:rsidRDefault="00E10391" w:rsidP="005B0D47">
            <w:pPr>
              <w:keepNext/>
              <w:spacing w:before="40" w:after="40"/>
              <w:ind w:left="567" w:hanging="567"/>
              <w:rPr>
                <w:rFonts w:ascii="Arial" w:hAnsi="Arial" w:cs="Arial"/>
                <w:b/>
                <w:sz w:val="18"/>
                <w:szCs w:val="18"/>
              </w:rPr>
            </w:pPr>
            <w:r w:rsidRPr="00F83B6B">
              <w:rPr>
                <w:rFonts w:ascii="Arial" w:hAnsi="Arial" w:cs="Arial"/>
                <w:b/>
                <w:sz w:val="18"/>
                <w:szCs w:val="18"/>
              </w:rPr>
              <w:t xml:space="preserve">Performance </w:t>
            </w:r>
            <w:r w:rsidR="005B0D47">
              <w:rPr>
                <w:rFonts w:ascii="Arial" w:hAnsi="Arial" w:cs="Arial"/>
                <w:b/>
                <w:sz w:val="18"/>
                <w:szCs w:val="18"/>
              </w:rPr>
              <w:t>c</w:t>
            </w:r>
            <w:r w:rsidRPr="00F83B6B">
              <w:rPr>
                <w:rFonts w:ascii="Arial" w:hAnsi="Arial" w:cs="Arial"/>
                <w:b/>
                <w:sz w:val="18"/>
                <w:szCs w:val="18"/>
              </w:rPr>
              <w:t>riteria</w:t>
            </w:r>
          </w:p>
        </w:tc>
        <w:tc>
          <w:tcPr>
            <w:tcW w:w="6237" w:type="dxa"/>
            <w:tcBorders>
              <w:bottom w:val="single" w:sz="4" w:space="0" w:color="auto"/>
            </w:tcBorders>
            <w:shd w:val="clear" w:color="auto" w:fill="548DD4" w:themeFill="text2" w:themeFillTint="99"/>
          </w:tcPr>
          <w:p w:rsidR="00E10391" w:rsidRPr="00F83B6B" w:rsidRDefault="00E10391" w:rsidP="005B0D47">
            <w:pPr>
              <w:keepNext/>
              <w:spacing w:before="40" w:after="40"/>
              <w:ind w:left="284" w:hanging="284"/>
              <w:rPr>
                <w:rFonts w:ascii="Arial" w:hAnsi="Arial" w:cs="Arial"/>
                <w:b/>
                <w:sz w:val="18"/>
                <w:szCs w:val="18"/>
              </w:rPr>
            </w:pPr>
            <w:r w:rsidRPr="00F83B6B">
              <w:rPr>
                <w:rFonts w:ascii="Arial" w:hAnsi="Arial" w:cs="Arial"/>
                <w:b/>
                <w:sz w:val="18"/>
                <w:szCs w:val="18"/>
              </w:rPr>
              <w:t xml:space="preserve">Evidence </w:t>
            </w:r>
            <w:r w:rsidR="005B0D47">
              <w:rPr>
                <w:rFonts w:ascii="Arial" w:hAnsi="Arial" w:cs="Arial"/>
                <w:b/>
                <w:sz w:val="18"/>
                <w:szCs w:val="18"/>
              </w:rPr>
              <w:t>e</w:t>
            </w:r>
            <w:r w:rsidRPr="00F83B6B">
              <w:rPr>
                <w:rFonts w:ascii="Arial" w:hAnsi="Arial" w:cs="Arial"/>
                <w:b/>
                <w:sz w:val="18"/>
                <w:szCs w:val="18"/>
              </w:rPr>
              <w:t>xamples</w:t>
            </w:r>
          </w:p>
        </w:tc>
      </w:tr>
      <w:tr w:rsidR="00E10391" w:rsidRPr="00F83B6B" w:rsidTr="00A66271">
        <w:trPr>
          <w:cantSplit/>
        </w:trPr>
        <w:tc>
          <w:tcPr>
            <w:tcW w:w="9923" w:type="dxa"/>
            <w:gridSpan w:val="2"/>
            <w:tcBorders>
              <w:bottom w:val="single" w:sz="4" w:space="0" w:color="auto"/>
            </w:tcBorders>
            <w:shd w:val="clear" w:color="auto" w:fill="FABF8F" w:themeFill="accent6" w:themeFillTint="99"/>
          </w:tcPr>
          <w:p w:rsidR="00E10391" w:rsidRPr="00F83B6B" w:rsidRDefault="00E10391" w:rsidP="00A66271">
            <w:pPr>
              <w:keepNext/>
              <w:spacing w:before="40" w:after="40"/>
              <w:ind w:left="284" w:hanging="284"/>
              <w:rPr>
                <w:rFonts w:ascii="Arial" w:hAnsi="Arial" w:cs="Arial"/>
                <w:b/>
                <w:sz w:val="18"/>
                <w:szCs w:val="18"/>
              </w:rPr>
            </w:pPr>
            <w:r w:rsidRPr="00F83B6B">
              <w:rPr>
                <w:rFonts w:ascii="Arial" w:hAnsi="Arial" w:cs="Arial"/>
                <w:b/>
                <w:sz w:val="18"/>
                <w:szCs w:val="18"/>
              </w:rPr>
              <w:t>Element 1 – Gather relevant information</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pStyle w:val="Header"/>
              <w:spacing w:before="40" w:after="40"/>
              <w:ind w:left="397" w:hanging="397"/>
              <w:rPr>
                <w:rFonts w:ascii="Arial" w:hAnsi="Arial" w:cs="Arial"/>
                <w:sz w:val="18"/>
                <w:szCs w:val="18"/>
              </w:rPr>
            </w:pPr>
            <w:r w:rsidRPr="00F83B6B">
              <w:rPr>
                <w:rFonts w:ascii="Arial" w:hAnsi="Arial" w:cs="Arial"/>
                <w:sz w:val="18"/>
                <w:szCs w:val="18"/>
              </w:rPr>
              <w:t>1</w:t>
            </w:r>
            <w:r w:rsidRPr="00F83B6B">
              <w:rPr>
                <w:rFonts w:ascii="Arial" w:hAnsi="Arial" w:cs="Arial"/>
                <w:sz w:val="18"/>
                <w:szCs w:val="18"/>
              </w:rPr>
              <w:tab/>
              <w:t>Uses a systematic approach to access and review the consumer medication record or notes.</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access consumer medication records, including those that are stored electronically.</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elicit changes to therapy, patterns of usage and adherence, previous allergies, adverse effects and drug interactions and any relative or absolute contraindications from the consumer medication record or notes.</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lastRenderedPageBreak/>
              <w:t>2</w:t>
            </w:r>
            <w:r w:rsidRPr="00F83B6B">
              <w:rPr>
                <w:rFonts w:ascii="Arial" w:hAnsi="Arial" w:cs="Arial"/>
                <w:sz w:val="18"/>
                <w:szCs w:val="18"/>
              </w:rPr>
              <w:tab/>
              <w:t>Obtains additional essential medication related information from the consumer/carer and/or the prescriber.</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identify and justify additional information needed to confirm the safety and/or appropriateness of the prescribed </w:t>
            </w:r>
            <w:r>
              <w:rPr>
                <w:rFonts w:ascii="Arial" w:hAnsi="Arial" w:cs="Arial"/>
                <w:sz w:val="18"/>
                <w:szCs w:val="18"/>
              </w:rPr>
              <w:t>compounded product</w:t>
            </w:r>
            <w:r w:rsidRPr="00F83B6B">
              <w:rPr>
                <w:rFonts w:ascii="Arial" w:hAnsi="Arial" w:cs="Arial"/>
                <w:sz w:val="18"/>
                <w:szCs w:val="18"/>
              </w:rPr>
              <w:t>.</w:t>
            </w:r>
          </w:p>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maintain professional rapport with consumer/carer and/or prescriber when seeking additional health and/or medication related information.</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3</w:t>
            </w:r>
            <w:r w:rsidRPr="00F83B6B">
              <w:rPr>
                <w:rFonts w:ascii="Arial" w:hAnsi="Arial" w:cs="Arial"/>
                <w:sz w:val="18"/>
                <w:szCs w:val="18"/>
              </w:rPr>
              <w:tab/>
              <w:t>Uses relevant information sources to clarify or confirm information or meet additional information needs.</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identify relevant information sources for different types of information.</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use information resources to obtain or confirm required information.</w:t>
            </w:r>
          </w:p>
        </w:tc>
      </w:tr>
      <w:tr w:rsidR="00E10391" w:rsidRPr="00F83B6B" w:rsidTr="00A66271">
        <w:trPr>
          <w:cantSplit/>
        </w:trPr>
        <w:tc>
          <w:tcPr>
            <w:tcW w:w="9923" w:type="dxa"/>
            <w:gridSpan w:val="2"/>
            <w:tcBorders>
              <w:bottom w:val="single" w:sz="4" w:space="0" w:color="auto"/>
            </w:tcBorders>
            <w:shd w:val="clear" w:color="auto" w:fill="FABF8F" w:themeFill="accent6" w:themeFillTint="99"/>
          </w:tcPr>
          <w:p w:rsidR="00E10391" w:rsidRPr="00F83B6B" w:rsidRDefault="00E10391" w:rsidP="00A66271">
            <w:pPr>
              <w:keepNext/>
              <w:spacing w:before="40" w:after="40"/>
              <w:ind w:left="284" w:hanging="284"/>
              <w:rPr>
                <w:rFonts w:ascii="Arial" w:hAnsi="Arial" w:cs="Arial"/>
                <w:b/>
                <w:sz w:val="18"/>
                <w:szCs w:val="18"/>
              </w:rPr>
            </w:pPr>
            <w:r w:rsidRPr="00F83B6B">
              <w:rPr>
                <w:rFonts w:ascii="Arial" w:hAnsi="Arial" w:cs="Arial"/>
                <w:b/>
                <w:sz w:val="18"/>
                <w:szCs w:val="18"/>
              </w:rPr>
              <w:t xml:space="preserve">Element 2 – Review the prescribed medicines </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1</w:t>
            </w:r>
            <w:r w:rsidRPr="00F83B6B">
              <w:rPr>
                <w:rFonts w:ascii="Arial" w:hAnsi="Arial" w:cs="Arial"/>
                <w:sz w:val="18"/>
                <w:szCs w:val="18"/>
              </w:rPr>
              <w:tab/>
              <w:t>Understands the therapeutic use(s) or pharmacological rationale for use of prescribed medicines.</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describe the therapeutic uses and/or pharmacology of </w:t>
            </w:r>
            <w:r>
              <w:rPr>
                <w:rFonts w:ascii="Arial" w:hAnsi="Arial" w:cs="Arial"/>
                <w:sz w:val="18"/>
                <w:szCs w:val="18"/>
              </w:rPr>
              <w:t xml:space="preserve">the </w:t>
            </w:r>
            <w:r w:rsidRPr="00F83B6B">
              <w:rPr>
                <w:rFonts w:ascii="Arial" w:hAnsi="Arial" w:cs="Arial"/>
                <w:sz w:val="18"/>
                <w:szCs w:val="18"/>
              </w:rPr>
              <w:t xml:space="preserve">prescribed </w:t>
            </w:r>
            <w:r>
              <w:rPr>
                <w:rFonts w:ascii="Arial" w:hAnsi="Arial" w:cs="Arial"/>
                <w:sz w:val="18"/>
                <w:szCs w:val="18"/>
              </w:rPr>
              <w:t>compounded product</w:t>
            </w:r>
            <w:r w:rsidRPr="00F83B6B">
              <w:rPr>
                <w:rFonts w:ascii="Arial" w:hAnsi="Arial" w:cs="Arial"/>
                <w:sz w:val="18"/>
                <w:szCs w:val="18"/>
              </w:rPr>
              <w:t>, or to readily access this information.</w:t>
            </w:r>
          </w:p>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 xml:space="preserve">Ability to explain why the particular </w:t>
            </w:r>
            <w:r>
              <w:rPr>
                <w:rFonts w:ascii="Arial" w:hAnsi="Arial" w:cs="Arial"/>
                <w:sz w:val="18"/>
                <w:szCs w:val="18"/>
              </w:rPr>
              <w:t>compounded product is</w:t>
            </w:r>
            <w:r w:rsidRPr="00F83B6B">
              <w:rPr>
                <w:rFonts w:ascii="Arial" w:hAnsi="Arial" w:cs="Arial"/>
                <w:sz w:val="18"/>
                <w:szCs w:val="18"/>
              </w:rPr>
              <w:t xml:space="preserve"> likely to have been prescribed for a specific consumer.</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2</w:t>
            </w:r>
            <w:r w:rsidRPr="00F83B6B">
              <w:rPr>
                <w:rFonts w:ascii="Arial" w:hAnsi="Arial" w:cs="Arial"/>
                <w:sz w:val="18"/>
                <w:szCs w:val="18"/>
              </w:rPr>
              <w:tab/>
              <w:t>Considers consumer, drug and dosage form factors likely to impact on the efficacy or safety of treatment.</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describe the types of consumer factors (e.g. medical conditions/disease states, age, weight, allergies, pregnancy and lactation), drug factors (e.g. bioavailability, pharmacokinetics, efficacy, toxicity) and formulation factors (e.g. use of preservatives, stability, sterility) that are likely to impact on efficacy and safety of treatment.</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3</w:t>
            </w:r>
            <w:r w:rsidRPr="00F83B6B">
              <w:rPr>
                <w:rFonts w:ascii="Arial" w:hAnsi="Arial" w:cs="Arial"/>
                <w:sz w:val="18"/>
                <w:szCs w:val="18"/>
              </w:rPr>
              <w:tab/>
              <w:t>Identifies clinically significant potential or actual drug related problems likely to be associated with use of the prescribed medicines.</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 xml:space="preserve">Ability to use professional judgement to identify clinically significant potential or actual medication related problems associated with use of the </w:t>
            </w:r>
            <w:r>
              <w:rPr>
                <w:rFonts w:ascii="Arial" w:hAnsi="Arial" w:cs="Arial"/>
                <w:sz w:val="18"/>
                <w:szCs w:val="18"/>
              </w:rPr>
              <w:t>prescribed compounded product</w:t>
            </w:r>
            <w:r w:rsidRPr="00F83B6B">
              <w:rPr>
                <w:rFonts w:ascii="Arial" w:hAnsi="Arial" w:cs="Arial"/>
                <w:sz w:val="18"/>
                <w:szCs w:val="18"/>
              </w:rPr>
              <w:t>.</w:t>
            </w:r>
            <w:r w:rsidRPr="00F83B6B" w:rsidDel="00230ACC">
              <w:rPr>
                <w:rFonts w:ascii="Arial" w:hAnsi="Arial" w:cs="Arial"/>
                <w:sz w:val="18"/>
                <w:szCs w:val="18"/>
              </w:rPr>
              <w:t xml:space="preserve"> </w:t>
            </w:r>
          </w:p>
        </w:tc>
      </w:tr>
      <w:tr w:rsidR="00E10391" w:rsidRPr="00F83B6B" w:rsidTr="00A66271">
        <w:trPr>
          <w:cantSplit/>
        </w:trPr>
        <w:tc>
          <w:tcPr>
            <w:tcW w:w="3686" w:type="dxa"/>
            <w:tcBorders>
              <w:bottom w:val="single" w:sz="4" w:space="0" w:color="auto"/>
            </w:tcBorders>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4</w:t>
            </w:r>
            <w:r w:rsidRPr="00F83B6B">
              <w:rPr>
                <w:rFonts w:ascii="Arial" w:hAnsi="Arial" w:cs="Arial"/>
                <w:sz w:val="18"/>
                <w:szCs w:val="18"/>
              </w:rPr>
              <w:tab/>
              <w:t>Identifies factors likely to adversely affect adherence to the intended treatment.</w:t>
            </w:r>
          </w:p>
        </w:tc>
        <w:tc>
          <w:tcPr>
            <w:tcW w:w="6237" w:type="dxa"/>
            <w:tcBorders>
              <w:bottom w:val="single" w:sz="4" w:space="0" w:color="auto"/>
            </w:tcBorders>
            <w:shd w:val="clear" w:color="auto" w:fill="DBE5F1" w:themeFill="accent1" w:themeFillTint="33"/>
          </w:tcPr>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 xml:space="preserve">Ability to describe consumer or lifestyle factors or </w:t>
            </w:r>
            <w:r>
              <w:rPr>
                <w:rFonts w:ascii="Arial" w:hAnsi="Arial" w:cs="Arial"/>
                <w:sz w:val="18"/>
                <w:szCs w:val="18"/>
              </w:rPr>
              <w:t>characteristics</w:t>
            </w:r>
            <w:r w:rsidRPr="00F83B6B">
              <w:rPr>
                <w:rFonts w:ascii="Arial" w:hAnsi="Arial" w:cs="Arial"/>
                <w:sz w:val="18"/>
                <w:szCs w:val="18"/>
              </w:rPr>
              <w:t xml:space="preserve"> of the </w:t>
            </w:r>
            <w:r>
              <w:rPr>
                <w:rFonts w:ascii="Arial" w:hAnsi="Arial" w:cs="Arial"/>
                <w:sz w:val="18"/>
                <w:szCs w:val="18"/>
              </w:rPr>
              <w:t>compounded product</w:t>
            </w:r>
            <w:r w:rsidRPr="00F83B6B">
              <w:rPr>
                <w:rFonts w:ascii="Arial" w:hAnsi="Arial" w:cs="Arial"/>
                <w:sz w:val="18"/>
                <w:szCs w:val="18"/>
              </w:rPr>
              <w:t xml:space="preserve"> that are likely to adversely impact on adherence (e.g. language, literacy and numeracy skills, manual dexterity, vision, racial, religious and cultural background, dosing regimen, side-effect profile and cost).</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5</w:t>
            </w:r>
            <w:r w:rsidRPr="00F83B6B">
              <w:rPr>
                <w:rFonts w:ascii="Arial" w:hAnsi="Arial" w:cs="Arial"/>
                <w:sz w:val="18"/>
                <w:szCs w:val="18"/>
              </w:rPr>
              <w:tab/>
              <w:t>Uses professional judgement to determine whether any changes in prescribed medicines are warranted to promote enhanced safety and/or efficacy.</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 xml:space="preserve">Ability to </w:t>
            </w:r>
            <w:r>
              <w:rPr>
                <w:rFonts w:ascii="Arial" w:hAnsi="Arial" w:cs="Arial"/>
                <w:sz w:val="18"/>
                <w:szCs w:val="18"/>
              </w:rPr>
              <w:t xml:space="preserve">identify </w:t>
            </w:r>
            <w:r w:rsidRPr="00F83B6B">
              <w:rPr>
                <w:rFonts w:ascii="Arial" w:hAnsi="Arial" w:cs="Arial"/>
                <w:sz w:val="18"/>
                <w:szCs w:val="18"/>
              </w:rPr>
              <w:t xml:space="preserve">changes in the </w:t>
            </w:r>
            <w:r>
              <w:rPr>
                <w:rFonts w:ascii="Arial" w:hAnsi="Arial" w:cs="Arial"/>
                <w:sz w:val="18"/>
                <w:szCs w:val="18"/>
              </w:rPr>
              <w:t>prescribed compounded product</w:t>
            </w:r>
            <w:r w:rsidRPr="00F83B6B">
              <w:rPr>
                <w:rFonts w:ascii="Arial" w:hAnsi="Arial" w:cs="Arial"/>
                <w:sz w:val="18"/>
                <w:szCs w:val="18"/>
              </w:rPr>
              <w:t>, dosage form and dosing regimen that are thought necessary in the interests of consumer safety and/or enhanced treatment efficacy.</w:t>
            </w:r>
          </w:p>
        </w:tc>
      </w:tr>
      <w:tr w:rsidR="00E10391" w:rsidRPr="00F83B6B" w:rsidTr="00A66271">
        <w:trPr>
          <w:cantSplit/>
        </w:trPr>
        <w:tc>
          <w:tcPr>
            <w:tcW w:w="9923" w:type="dxa"/>
            <w:gridSpan w:val="2"/>
            <w:tcBorders>
              <w:bottom w:val="single" w:sz="4" w:space="0" w:color="auto"/>
            </w:tcBorders>
            <w:shd w:val="clear" w:color="auto" w:fill="FABF8F" w:themeFill="accent6" w:themeFillTint="99"/>
          </w:tcPr>
          <w:p w:rsidR="00E10391" w:rsidRPr="00F83B6B" w:rsidRDefault="00E10391" w:rsidP="00A66271">
            <w:pPr>
              <w:keepNext/>
              <w:spacing w:before="40" w:after="40"/>
              <w:ind w:left="284" w:hanging="284"/>
              <w:rPr>
                <w:rFonts w:ascii="Arial" w:hAnsi="Arial" w:cs="Arial"/>
                <w:b/>
                <w:sz w:val="18"/>
                <w:szCs w:val="18"/>
              </w:rPr>
            </w:pPr>
            <w:r w:rsidRPr="00F83B6B">
              <w:rPr>
                <w:rFonts w:ascii="Arial" w:hAnsi="Arial" w:cs="Arial"/>
                <w:b/>
                <w:sz w:val="18"/>
                <w:szCs w:val="18"/>
              </w:rPr>
              <w:t>Element 3 – Promote optimal medicines use</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1</w:t>
            </w:r>
            <w:r w:rsidRPr="00F83B6B">
              <w:rPr>
                <w:rFonts w:ascii="Arial" w:hAnsi="Arial" w:cs="Arial"/>
                <w:sz w:val="18"/>
                <w:szCs w:val="18"/>
              </w:rPr>
              <w:tab/>
              <w:t>Liaises with the prescriber regarding suggested changes in therapy to resolve or minimise issues likely to adversely impact on adherence.</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 xml:space="preserve">Ability to </w:t>
            </w:r>
            <w:r>
              <w:rPr>
                <w:rFonts w:ascii="Arial" w:hAnsi="Arial" w:cs="Arial"/>
                <w:sz w:val="18"/>
                <w:szCs w:val="18"/>
              </w:rPr>
              <w:t>justify</w:t>
            </w:r>
            <w:r w:rsidRPr="00F83B6B">
              <w:rPr>
                <w:rFonts w:ascii="Arial" w:hAnsi="Arial" w:cs="Arial"/>
                <w:sz w:val="18"/>
                <w:szCs w:val="18"/>
              </w:rPr>
              <w:t xml:space="preserve"> </w:t>
            </w:r>
            <w:r>
              <w:rPr>
                <w:rFonts w:ascii="Arial" w:hAnsi="Arial" w:cs="Arial"/>
                <w:sz w:val="18"/>
                <w:szCs w:val="18"/>
              </w:rPr>
              <w:t xml:space="preserve">to </w:t>
            </w:r>
            <w:r w:rsidRPr="00F83B6B">
              <w:rPr>
                <w:rFonts w:ascii="Arial" w:hAnsi="Arial" w:cs="Arial"/>
                <w:sz w:val="18"/>
                <w:szCs w:val="18"/>
              </w:rPr>
              <w:t>the prescriber the rationale</w:t>
            </w:r>
            <w:r>
              <w:rPr>
                <w:rFonts w:ascii="Arial" w:hAnsi="Arial" w:cs="Arial"/>
                <w:sz w:val="18"/>
                <w:szCs w:val="18"/>
              </w:rPr>
              <w:t xml:space="preserve"> (based on evidence or professional expertise) </w:t>
            </w:r>
            <w:r w:rsidRPr="00F83B6B">
              <w:rPr>
                <w:rFonts w:ascii="Arial" w:hAnsi="Arial" w:cs="Arial"/>
                <w:sz w:val="18"/>
                <w:szCs w:val="18"/>
              </w:rPr>
              <w:t xml:space="preserve">behind recommended changes in </w:t>
            </w:r>
            <w:r>
              <w:rPr>
                <w:rFonts w:ascii="Arial" w:hAnsi="Arial" w:cs="Arial"/>
                <w:sz w:val="18"/>
                <w:szCs w:val="18"/>
              </w:rPr>
              <w:t xml:space="preserve">the complex compounded product or </w:t>
            </w:r>
            <w:r w:rsidRPr="00F83B6B">
              <w:rPr>
                <w:rFonts w:ascii="Arial" w:hAnsi="Arial" w:cs="Arial"/>
                <w:sz w:val="18"/>
                <w:szCs w:val="18"/>
              </w:rPr>
              <w:t>to discuss alternative therapeutic options where necessary.</w:t>
            </w:r>
            <w:r>
              <w:rPr>
                <w:rFonts w:ascii="Arial" w:hAnsi="Arial" w:cs="Arial"/>
                <w:sz w:val="18"/>
                <w:szCs w:val="18"/>
              </w:rPr>
              <w:t xml:space="preserve"> </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2</w:t>
            </w:r>
            <w:r w:rsidRPr="00F83B6B">
              <w:rPr>
                <w:rFonts w:ascii="Arial" w:hAnsi="Arial" w:cs="Arial"/>
                <w:sz w:val="18"/>
                <w:szCs w:val="18"/>
              </w:rPr>
              <w:tab/>
              <w:t>Initiates action, in consultation with prescribers and/or consumers, to address issues impacting on adherence.</w:t>
            </w:r>
          </w:p>
        </w:tc>
        <w:tc>
          <w:tcPr>
            <w:tcW w:w="6237" w:type="dxa"/>
            <w:shd w:val="clear" w:color="auto" w:fill="DBE5F1" w:themeFill="accent1" w:themeFillTint="33"/>
          </w:tcPr>
          <w:p w:rsidR="00E10391" w:rsidRPr="002A7EB3"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 xml:space="preserve">Ability to </w:t>
            </w:r>
            <w:r>
              <w:rPr>
                <w:rFonts w:ascii="Arial" w:hAnsi="Arial" w:cs="Arial"/>
                <w:sz w:val="18"/>
                <w:szCs w:val="18"/>
              </w:rPr>
              <w:t xml:space="preserve">discuss with the consumer and the prescriber characteristics of the compounded product which may impact on its ease of use or acceptability to the consumer and to identify strategies to assist adherence with </w:t>
            </w:r>
            <w:r w:rsidRPr="00F83B6B">
              <w:rPr>
                <w:rFonts w:ascii="Arial" w:hAnsi="Arial" w:cs="Arial"/>
                <w:sz w:val="18"/>
                <w:szCs w:val="18"/>
              </w:rPr>
              <w:t>therapy.</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3</w:t>
            </w:r>
            <w:r w:rsidRPr="00F83B6B">
              <w:rPr>
                <w:rFonts w:ascii="Arial" w:hAnsi="Arial" w:cs="Arial"/>
                <w:b/>
                <w:i/>
                <w:sz w:val="18"/>
                <w:szCs w:val="18"/>
              </w:rPr>
              <w:tab/>
            </w:r>
            <w:r w:rsidRPr="00F83B6B">
              <w:rPr>
                <w:rFonts w:ascii="Arial" w:hAnsi="Arial" w:cs="Arial"/>
                <w:sz w:val="18"/>
                <w:szCs w:val="18"/>
              </w:rPr>
              <w:t>Understands the need to accurately code and record clinical interventions consistent with professional standards or conventions and workplace policy.</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use a systematic classification and recording system for clinical interventions.</w:t>
            </w:r>
          </w:p>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describe the process by which data on clinical interventions is captured, analysed and used.</w:t>
            </w:r>
          </w:p>
        </w:tc>
      </w:tr>
    </w:tbl>
    <w:p w:rsidR="00E10391" w:rsidRDefault="00E10391" w:rsidP="00E10391">
      <w:pPr>
        <w:rPr>
          <w:rFonts w:ascii="Arial" w:hAnsi="Arial" w:cs="Arial"/>
          <w:sz w:val="18"/>
          <w:szCs w:val="18"/>
        </w:rPr>
      </w:pPr>
    </w:p>
    <w:p w:rsidR="00E10391" w:rsidRPr="00D80945" w:rsidRDefault="00E10391" w:rsidP="00E10391">
      <w:pPr>
        <w:pStyle w:val="Heading3"/>
        <w:rPr>
          <w:rFonts w:ascii="Arial" w:hAnsi="Arial" w:cs="Arial"/>
          <w:color w:val="000000" w:themeColor="text1"/>
        </w:rPr>
      </w:pPr>
    </w:p>
    <w:p w:rsidR="00E10391" w:rsidRPr="00D80945" w:rsidRDefault="00E10391" w:rsidP="00E10391">
      <w:pPr>
        <w:pStyle w:val="Heading3"/>
        <w:rPr>
          <w:rFonts w:ascii="Arial" w:hAnsi="Arial" w:cs="Arial"/>
          <w:color w:val="000000" w:themeColor="text1"/>
        </w:rPr>
      </w:pPr>
    </w:p>
    <w:p w:rsidR="00E10391" w:rsidRDefault="00E10391" w:rsidP="00E10391">
      <w:pPr>
        <w:spacing w:after="0"/>
        <w:rPr>
          <w:rFonts w:ascii="Arial" w:eastAsiaTheme="majorEastAsia" w:hAnsi="Arial" w:cs="Arial"/>
          <w:b/>
          <w:bCs/>
          <w:color w:val="FF0000"/>
          <w:sz w:val="26"/>
          <w:szCs w:val="26"/>
        </w:rPr>
      </w:pPr>
      <w:r>
        <w:rPr>
          <w:rFonts w:ascii="Arial" w:hAnsi="Arial" w:cs="Arial"/>
          <w:color w:val="FF0000"/>
        </w:rPr>
        <w:br w:type="page"/>
      </w:r>
    </w:p>
    <w:p w:rsidR="00E10391" w:rsidRPr="00D80945" w:rsidRDefault="00E10391" w:rsidP="00E10391">
      <w:pPr>
        <w:pStyle w:val="Heading3"/>
        <w:rPr>
          <w:rFonts w:ascii="Arial" w:hAnsi="Arial" w:cs="Arial"/>
        </w:rPr>
      </w:pPr>
      <w:bookmarkStart w:id="23" w:name="_Toc377638245"/>
      <w:r w:rsidRPr="00D80945">
        <w:rPr>
          <w:rFonts w:ascii="Arial" w:hAnsi="Arial" w:cs="Arial"/>
          <w:color w:val="FF0000"/>
        </w:rPr>
        <w:lastRenderedPageBreak/>
        <w:t>Standard 4.3</w:t>
      </w:r>
      <w:r w:rsidRPr="00D80945">
        <w:rPr>
          <w:rFonts w:ascii="Arial" w:hAnsi="Arial" w:cs="Arial"/>
        </w:rPr>
        <w:t xml:space="preserve"> Dispense prescribed medicines</w:t>
      </w:r>
      <w:bookmarkEnd w:id="23"/>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237"/>
      </w:tblGrid>
      <w:tr w:rsidR="00E10391" w:rsidRPr="00F83B6B" w:rsidTr="00A66271">
        <w:trPr>
          <w:cantSplit/>
          <w:tblHeader/>
        </w:trPr>
        <w:tc>
          <w:tcPr>
            <w:tcW w:w="3686" w:type="dxa"/>
            <w:tcBorders>
              <w:top w:val="nil"/>
              <w:left w:val="nil"/>
              <w:right w:val="nil"/>
            </w:tcBorders>
          </w:tcPr>
          <w:p w:rsidR="00E10391" w:rsidRPr="00F83B6B" w:rsidRDefault="00E10391" w:rsidP="00A66271">
            <w:pPr>
              <w:spacing w:before="40" w:after="40"/>
              <w:ind w:left="567" w:hanging="567"/>
              <w:rPr>
                <w:rFonts w:ascii="Arial" w:hAnsi="Arial" w:cs="Arial"/>
                <w:b/>
                <w:sz w:val="18"/>
                <w:szCs w:val="18"/>
              </w:rPr>
            </w:pPr>
          </w:p>
        </w:tc>
        <w:tc>
          <w:tcPr>
            <w:tcW w:w="6237" w:type="dxa"/>
            <w:tcBorders>
              <w:top w:val="nil"/>
              <w:left w:val="nil"/>
              <w:right w:val="nil"/>
            </w:tcBorders>
          </w:tcPr>
          <w:p w:rsidR="00E10391" w:rsidRPr="00F83B6B" w:rsidRDefault="00E10391" w:rsidP="00A66271">
            <w:pPr>
              <w:spacing w:before="40" w:after="40"/>
              <w:ind w:left="284" w:hanging="284"/>
              <w:jc w:val="right"/>
              <w:rPr>
                <w:rFonts w:ascii="Arial" w:hAnsi="Arial" w:cs="Arial"/>
                <w:b/>
                <w:i/>
                <w:sz w:val="18"/>
                <w:szCs w:val="18"/>
              </w:rPr>
            </w:pPr>
          </w:p>
        </w:tc>
      </w:tr>
      <w:tr w:rsidR="00E10391" w:rsidRPr="00F83B6B" w:rsidTr="00A66271">
        <w:trPr>
          <w:cantSplit/>
          <w:tblHeader/>
        </w:trPr>
        <w:tc>
          <w:tcPr>
            <w:tcW w:w="3686" w:type="dxa"/>
            <w:tcBorders>
              <w:bottom w:val="single" w:sz="4" w:space="0" w:color="auto"/>
            </w:tcBorders>
            <w:shd w:val="clear" w:color="auto" w:fill="548DD4" w:themeFill="text2" w:themeFillTint="99"/>
          </w:tcPr>
          <w:p w:rsidR="00E10391" w:rsidRPr="00F83B6B" w:rsidRDefault="00E10391" w:rsidP="00186360">
            <w:pPr>
              <w:spacing w:before="40" w:after="40"/>
              <w:ind w:left="567" w:hanging="567"/>
              <w:rPr>
                <w:rFonts w:ascii="Arial" w:hAnsi="Arial" w:cs="Arial"/>
                <w:b/>
                <w:sz w:val="18"/>
                <w:szCs w:val="18"/>
              </w:rPr>
            </w:pPr>
            <w:r w:rsidRPr="00F83B6B">
              <w:rPr>
                <w:rFonts w:ascii="Arial" w:hAnsi="Arial" w:cs="Arial"/>
                <w:b/>
                <w:sz w:val="18"/>
                <w:szCs w:val="18"/>
              </w:rPr>
              <w:t xml:space="preserve">Performance </w:t>
            </w:r>
            <w:r w:rsidR="00186360">
              <w:rPr>
                <w:rFonts w:ascii="Arial" w:hAnsi="Arial" w:cs="Arial"/>
                <w:b/>
                <w:sz w:val="18"/>
                <w:szCs w:val="18"/>
              </w:rPr>
              <w:t>c</w:t>
            </w:r>
            <w:r w:rsidRPr="00F83B6B">
              <w:rPr>
                <w:rFonts w:ascii="Arial" w:hAnsi="Arial" w:cs="Arial"/>
                <w:b/>
                <w:sz w:val="18"/>
                <w:szCs w:val="18"/>
              </w:rPr>
              <w:t>riteria</w:t>
            </w:r>
          </w:p>
        </w:tc>
        <w:tc>
          <w:tcPr>
            <w:tcW w:w="6237" w:type="dxa"/>
            <w:tcBorders>
              <w:bottom w:val="single" w:sz="4" w:space="0" w:color="auto"/>
            </w:tcBorders>
            <w:shd w:val="clear" w:color="auto" w:fill="548DD4" w:themeFill="text2" w:themeFillTint="99"/>
          </w:tcPr>
          <w:p w:rsidR="00E10391" w:rsidRPr="00F83B6B" w:rsidRDefault="00E10391" w:rsidP="005B0D47">
            <w:pPr>
              <w:spacing w:before="40" w:after="40"/>
              <w:ind w:left="284" w:hanging="284"/>
              <w:rPr>
                <w:rFonts w:ascii="Arial" w:hAnsi="Arial" w:cs="Arial"/>
                <w:b/>
                <w:sz w:val="18"/>
                <w:szCs w:val="18"/>
              </w:rPr>
            </w:pPr>
            <w:r w:rsidRPr="00F83B6B">
              <w:rPr>
                <w:rFonts w:ascii="Arial" w:hAnsi="Arial" w:cs="Arial"/>
                <w:b/>
                <w:sz w:val="18"/>
                <w:szCs w:val="18"/>
              </w:rPr>
              <w:t xml:space="preserve">Evidence </w:t>
            </w:r>
            <w:r w:rsidR="00186360">
              <w:rPr>
                <w:rFonts w:ascii="Arial" w:hAnsi="Arial" w:cs="Arial"/>
                <w:b/>
                <w:sz w:val="18"/>
                <w:szCs w:val="18"/>
              </w:rPr>
              <w:t>e</w:t>
            </w:r>
            <w:r w:rsidRPr="00F83B6B">
              <w:rPr>
                <w:rFonts w:ascii="Arial" w:hAnsi="Arial" w:cs="Arial"/>
                <w:b/>
                <w:sz w:val="18"/>
                <w:szCs w:val="18"/>
              </w:rPr>
              <w:t>xamples</w:t>
            </w:r>
          </w:p>
        </w:tc>
      </w:tr>
      <w:tr w:rsidR="00E10391" w:rsidRPr="00F83B6B" w:rsidTr="00A66271">
        <w:trPr>
          <w:cantSplit/>
        </w:trPr>
        <w:tc>
          <w:tcPr>
            <w:tcW w:w="9923" w:type="dxa"/>
            <w:gridSpan w:val="2"/>
            <w:tcBorders>
              <w:bottom w:val="single" w:sz="4" w:space="0" w:color="auto"/>
            </w:tcBorders>
            <w:shd w:val="clear" w:color="auto" w:fill="FABF8F" w:themeFill="accent6" w:themeFillTint="99"/>
          </w:tcPr>
          <w:p w:rsidR="00E10391" w:rsidRPr="00F83B6B" w:rsidRDefault="00E10391" w:rsidP="00A66271">
            <w:pPr>
              <w:spacing w:before="40" w:after="40"/>
              <w:ind w:left="284" w:hanging="284"/>
              <w:rPr>
                <w:rFonts w:ascii="Arial" w:hAnsi="Arial" w:cs="Arial"/>
                <w:b/>
                <w:sz w:val="18"/>
                <w:szCs w:val="18"/>
              </w:rPr>
            </w:pPr>
            <w:r w:rsidRPr="00F83B6B">
              <w:rPr>
                <w:rFonts w:ascii="Arial" w:hAnsi="Arial" w:cs="Arial"/>
                <w:b/>
                <w:sz w:val="18"/>
                <w:szCs w:val="18"/>
              </w:rPr>
              <w:t>Element 1 – Apply a systematic dispensing procedure</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1</w:t>
            </w:r>
            <w:r w:rsidRPr="00F83B6B">
              <w:rPr>
                <w:rFonts w:ascii="Arial" w:hAnsi="Arial" w:cs="Arial"/>
                <w:sz w:val="18"/>
                <w:szCs w:val="18"/>
              </w:rPr>
              <w:tab/>
              <w:t>Uses professional judgement to determine the priority order in which prescription medicines are dispensed.</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 xml:space="preserve">Ability to decide a priority order for </w:t>
            </w:r>
            <w:r>
              <w:rPr>
                <w:rFonts w:ascii="Arial" w:hAnsi="Arial" w:cs="Arial"/>
                <w:sz w:val="18"/>
                <w:szCs w:val="18"/>
              </w:rPr>
              <w:t xml:space="preserve">dispensing </w:t>
            </w:r>
            <w:r w:rsidRPr="00F83B6B">
              <w:rPr>
                <w:rFonts w:ascii="Arial" w:hAnsi="Arial" w:cs="Arial"/>
                <w:sz w:val="18"/>
                <w:szCs w:val="18"/>
              </w:rPr>
              <w:t xml:space="preserve">prescribed </w:t>
            </w:r>
            <w:r>
              <w:rPr>
                <w:rFonts w:ascii="Arial" w:hAnsi="Arial" w:cs="Arial"/>
                <w:sz w:val="18"/>
                <w:szCs w:val="18"/>
              </w:rPr>
              <w:t>compounded products</w:t>
            </w:r>
            <w:r w:rsidRPr="00F83B6B">
              <w:rPr>
                <w:rFonts w:ascii="Arial" w:hAnsi="Arial" w:cs="Arial"/>
                <w:sz w:val="18"/>
                <w:szCs w:val="18"/>
              </w:rPr>
              <w:t>, taking account of factors such as the urgency of clinical need</w:t>
            </w:r>
            <w:r>
              <w:rPr>
                <w:rFonts w:ascii="Arial" w:hAnsi="Arial" w:cs="Arial"/>
                <w:sz w:val="18"/>
                <w:szCs w:val="18"/>
              </w:rPr>
              <w:t>,</w:t>
            </w:r>
            <w:r w:rsidRPr="00F83B6B">
              <w:rPr>
                <w:rFonts w:ascii="Arial" w:hAnsi="Arial" w:cs="Arial"/>
                <w:sz w:val="18"/>
                <w:szCs w:val="18"/>
              </w:rPr>
              <w:t xml:space="preserve"> consumer safety and legal requirements, </w:t>
            </w:r>
            <w:r>
              <w:rPr>
                <w:rFonts w:ascii="Arial" w:hAnsi="Arial" w:cs="Arial"/>
                <w:sz w:val="18"/>
                <w:szCs w:val="18"/>
              </w:rPr>
              <w:t>and the time and care needed for recording, preparing and checking all aspects of the complex compounding process and final product</w:t>
            </w:r>
            <w:r w:rsidRPr="00F83B6B">
              <w:rPr>
                <w:rFonts w:ascii="Arial" w:hAnsi="Arial" w:cs="Arial"/>
                <w:sz w:val="18"/>
                <w:szCs w:val="18"/>
              </w:rPr>
              <w:t>.</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2</w:t>
            </w:r>
            <w:r w:rsidRPr="00F83B6B">
              <w:rPr>
                <w:rFonts w:ascii="Arial" w:hAnsi="Arial" w:cs="Arial"/>
                <w:sz w:val="18"/>
                <w:szCs w:val="18"/>
              </w:rPr>
              <w:tab/>
              <w:t>Maintains a logical, safe and disciplined dispensing procedure.</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operate computerised dispensing and bar code scanning systems to accurately select </w:t>
            </w:r>
            <w:r>
              <w:rPr>
                <w:rFonts w:ascii="Arial" w:hAnsi="Arial" w:cs="Arial"/>
                <w:sz w:val="18"/>
                <w:szCs w:val="18"/>
              </w:rPr>
              <w:t>ingredients</w:t>
            </w:r>
            <w:r w:rsidRPr="00F83B6B">
              <w:rPr>
                <w:rFonts w:ascii="Arial" w:hAnsi="Arial" w:cs="Arial"/>
                <w:sz w:val="18"/>
                <w:szCs w:val="18"/>
              </w:rPr>
              <w:t xml:space="preserve"> and maintain consumer medication records.</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describe factors known to be associated with dispensing </w:t>
            </w:r>
            <w:r>
              <w:rPr>
                <w:rFonts w:ascii="Arial" w:hAnsi="Arial" w:cs="Arial"/>
                <w:sz w:val="18"/>
                <w:szCs w:val="18"/>
              </w:rPr>
              <w:t xml:space="preserve">or compounding </w:t>
            </w:r>
            <w:r w:rsidRPr="00F83B6B">
              <w:rPr>
                <w:rFonts w:ascii="Arial" w:hAnsi="Arial" w:cs="Arial"/>
                <w:sz w:val="18"/>
                <w:szCs w:val="18"/>
              </w:rPr>
              <w:t xml:space="preserve">errors (e.g. </w:t>
            </w:r>
            <w:r>
              <w:rPr>
                <w:rFonts w:ascii="Arial" w:hAnsi="Arial" w:cs="Arial"/>
                <w:sz w:val="18"/>
                <w:szCs w:val="18"/>
              </w:rPr>
              <w:t>inaccurate or incomplete master worksheets</w:t>
            </w:r>
            <w:r w:rsidR="00566A61">
              <w:rPr>
                <w:rFonts w:ascii="Arial" w:hAnsi="Arial" w:cs="Arial"/>
                <w:sz w:val="18"/>
                <w:szCs w:val="18"/>
              </w:rPr>
              <w:t>,</w:t>
            </w:r>
            <w:r w:rsidRPr="00F83B6B">
              <w:rPr>
                <w:rFonts w:ascii="Arial" w:hAnsi="Arial" w:cs="Arial"/>
                <w:sz w:val="18"/>
                <w:szCs w:val="18"/>
              </w:rPr>
              <w:t xml:space="preserve"> frequent interruptions).</w:t>
            </w:r>
          </w:p>
          <w:p w:rsidR="00E10391"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apply a systematic process </w:t>
            </w:r>
            <w:r>
              <w:rPr>
                <w:rFonts w:ascii="Arial" w:hAnsi="Arial" w:cs="Arial"/>
                <w:sz w:val="18"/>
                <w:szCs w:val="18"/>
              </w:rPr>
              <w:t xml:space="preserve">to preparation and dispensing of complex compounded products </w:t>
            </w:r>
            <w:r w:rsidRPr="00F83B6B">
              <w:rPr>
                <w:rFonts w:ascii="Arial" w:hAnsi="Arial" w:cs="Arial"/>
                <w:sz w:val="18"/>
                <w:szCs w:val="18"/>
              </w:rPr>
              <w:t>which incorporates sequential checks for accuracy.</w:t>
            </w:r>
          </w:p>
          <w:p w:rsidR="00E10391" w:rsidRPr="00F83B6B" w:rsidRDefault="00E10391" w:rsidP="00E10391">
            <w:pPr>
              <w:numPr>
                <w:ilvl w:val="0"/>
                <w:numId w:val="24"/>
              </w:numPr>
              <w:spacing w:before="40" w:after="40"/>
              <w:ind w:left="284" w:hanging="284"/>
              <w:rPr>
                <w:rFonts w:ascii="Arial" w:hAnsi="Arial" w:cs="Arial"/>
                <w:sz w:val="18"/>
                <w:szCs w:val="18"/>
              </w:rPr>
            </w:pPr>
            <w:r>
              <w:rPr>
                <w:rFonts w:ascii="Arial" w:hAnsi="Arial" w:cs="Arial"/>
                <w:sz w:val="18"/>
                <w:szCs w:val="18"/>
              </w:rPr>
              <w:t>Ability to accurately select product, dosage form and required quantity.</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3</w:t>
            </w:r>
            <w:r w:rsidRPr="00F83B6B">
              <w:rPr>
                <w:rFonts w:ascii="Arial" w:hAnsi="Arial" w:cs="Arial"/>
                <w:sz w:val="18"/>
                <w:szCs w:val="18"/>
              </w:rPr>
              <w:tab/>
              <w:t>Considers factors likely to compromise product efficacy and stability when repackaging medicines out of their original containers/packaging.</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describe factors (e.g. light sensitivity, deliquescence</w:t>
            </w:r>
            <w:r>
              <w:rPr>
                <w:rFonts w:ascii="Arial" w:hAnsi="Arial" w:cs="Arial"/>
                <w:sz w:val="18"/>
                <w:szCs w:val="18"/>
              </w:rPr>
              <w:t>, possible contamination</w:t>
            </w:r>
            <w:r w:rsidRPr="00F83B6B">
              <w:rPr>
                <w:rFonts w:ascii="Arial" w:hAnsi="Arial" w:cs="Arial"/>
                <w:sz w:val="18"/>
                <w:szCs w:val="18"/>
              </w:rPr>
              <w:t xml:space="preserve">) </w:t>
            </w:r>
            <w:r>
              <w:rPr>
                <w:rFonts w:ascii="Arial" w:hAnsi="Arial" w:cs="Arial"/>
                <w:sz w:val="18"/>
                <w:szCs w:val="18"/>
              </w:rPr>
              <w:t xml:space="preserve">that may impact on the advisability of using ingredients in a complex compounded product that have to be removed from the original unit of use packaging (e.g. proprietary creams, capsules or eye or ear drops) </w:t>
            </w:r>
          </w:p>
        </w:tc>
      </w:tr>
      <w:tr w:rsidR="00E10391" w:rsidRPr="00F83B6B" w:rsidTr="00A66271">
        <w:trPr>
          <w:cantSplit/>
        </w:trPr>
        <w:tc>
          <w:tcPr>
            <w:tcW w:w="3686" w:type="dxa"/>
            <w:tcBorders>
              <w:bottom w:val="single" w:sz="4" w:space="0" w:color="auto"/>
            </w:tcBorders>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4</w:t>
            </w:r>
            <w:r w:rsidRPr="00F83B6B">
              <w:rPr>
                <w:rFonts w:ascii="Arial" w:hAnsi="Arial" w:cs="Arial"/>
                <w:sz w:val="18"/>
                <w:szCs w:val="18"/>
              </w:rPr>
              <w:tab/>
              <w:t>Applies legible, comprehensible and complete labels to dispensed medicines.</w:t>
            </w:r>
          </w:p>
        </w:tc>
        <w:tc>
          <w:tcPr>
            <w:tcW w:w="6237" w:type="dxa"/>
            <w:tcBorders>
              <w:bottom w:val="single" w:sz="4" w:space="0" w:color="auto"/>
            </w:tcBorders>
            <w:shd w:val="clear" w:color="auto" w:fill="DBE5F1" w:themeFill="accent1" w:themeFillTint="33"/>
          </w:tcPr>
          <w:p w:rsidR="00E10391"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produce labels in which the type face is large enough and dark enough to be easily read, instructions are expressed in readily understandable English, are adapted to meet specific consumer needs (e.g. poor sight) and include all the information </w:t>
            </w:r>
            <w:r>
              <w:rPr>
                <w:rFonts w:ascii="Arial" w:hAnsi="Arial" w:cs="Arial"/>
                <w:sz w:val="18"/>
                <w:szCs w:val="18"/>
              </w:rPr>
              <w:t>required by law/professional convention and for safe and effective use of the product by the consumer</w:t>
            </w:r>
            <w:r w:rsidRPr="00F83B6B">
              <w:rPr>
                <w:rFonts w:ascii="Arial" w:hAnsi="Arial" w:cs="Arial"/>
                <w:sz w:val="18"/>
                <w:szCs w:val="18"/>
              </w:rPr>
              <w:t>.</w:t>
            </w:r>
          </w:p>
          <w:p w:rsidR="00E10391" w:rsidRPr="00EE2322" w:rsidRDefault="00E10391" w:rsidP="00E10391">
            <w:pPr>
              <w:numPr>
                <w:ilvl w:val="0"/>
                <w:numId w:val="24"/>
              </w:numPr>
              <w:spacing w:before="40" w:after="40"/>
              <w:ind w:left="284" w:hanging="284"/>
              <w:rPr>
                <w:rFonts w:ascii="Arial" w:hAnsi="Arial" w:cs="Arial"/>
                <w:sz w:val="18"/>
                <w:szCs w:val="18"/>
              </w:rPr>
            </w:pPr>
            <w:r>
              <w:rPr>
                <w:rFonts w:ascii="Arial" w:hAnsi="Arial" w:cs="Arial"/>
                <w:sz w:val="18"/>
                <w:szCs w:val="18"/>
              </w:rPr>
              <w:t>Ability to select a site for the label that does not cover important information provided by the sponsor company such as expiry date,</w:t>
            </w:r>
            <w:r w:rsidR="00B8197F">
              <w:rPr>
                <w:rFonts w:ascii="Arial" w:hAnsi="Arial" w:cs="Arial"/>
                <w:sz w:val="18"/>
                <w:szCs w:val="18"/>
              </w:rPr>
              <w:t xml:space="preserve"> </w:t>
            </w:r>
            <w:r>
              <w:rPr>
                <w:rFonts w:ascii="Arial" w:hAnsi="Arial" w:cs="Arial"/>
                <w:sz w:val="18"/>
                <w:szCs w:val="18"/>
              </w:rPr>
              <w:t>batch number, storage requirements or dosing information.</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5</w:t>
            </w:r>
            <w:r w:rsidRPr="00F83B6B">
              <w:rPr>
                <w:rFonts w:ascii="Arial" w:hAnsi="Arial" w:cs="Arial"/>
                <w:sz w:val="18"/>
                <w:szCs w:val="18"/>
              </w:rPr>
              <w:tab/>
              <w:t>Incorporates relevant cautionary and advisory directions into the labelling of dispensed medicines consistent with legal requirements and professional conventions.</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 xml:space="preserve">Ability to use ancillary labels or cautionary and advisory statements as specified in legislation, the </w:t>
            </w:r>
            <w:r w:rsidRPr="00F83B6B">
              <w:rPr>
                <w:rFonts w:ascii="Arial" w:hAnsi="Arial" w:cs="Arial"/>
                <w:i/>
                <w:sz w:val="18"/>
                <w:szCs w:val="18"/>
              </w:rPr>
              <w:t xml:space="preserve">Australian Pharmaceutical Formulary and Handbook </w:t>
            </w:r>
            <w:r w:rsidRPr="00F83B6B">
              <w:rPr>
                <w:rFonts w:ascii="Arial" w:hAnsi="Arial" w:cs="Arial"/>
                <w:sz w:val="18"/>
                <w:szCs w:val="18"/>
              </w:rPr>
              <w:t>(APF) and otherwise as considered appropriate.</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6</w:t>
            </w:r>
            <w:r w:rsidRPr="00F83B6B">
              <w:rPr>
                <w:rFonts w:ascii="Arial" w:hAnsi="Arial" w:cs="Arial"/>
                <w:sz w:val="18"/>
                <w:szCs w:val="18"/>
              </w:rPr>
              <w:tab/>
              <w:t>Ensures dispensed medicines and the applied labels directly correlate to the prescribed medicines and dosing regimen.</w:t>
            </w:r>
          </w:p>
        </w:tc>
        <w:tc>
          <w:tcPr>
            <w:tcW w:w="6237" w:type="dxa"/>
            <w:shd w:val="clear" w:color="auto" w:fill="DBE5F1" w:themeFill="accent1" w:themeFillTint="33"/>
          </w:tcPr>
          <w:p w:rsidR="00E10391"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 xml:space="preserve">Ability to use the prescription as the primary source for checking that both the label and dispensed </w:t>
            </w:r>
            <w:r>
              <w:rPr>
                <w:rFonts w:ascii="Arial" w:hAnsi="Arial" w:cs="Arial"/>
                <w:sz w:val="18"/>
                <w:szCs w:val="18"/>
              </w:rPr>
              <w:t>compounded product</w:t>
            </w:r>
            <w:r w:rsidRPr="00F83B6B">
              <w:rPr>
                <w:rFonts w:ascii="Arial" w:hAnsi="Arial" w:cs="Arial"/>
                <w:sz w:val="18"/>
                <w:szCs w:val="18"/>
              </w:rPr>
              <w:t xml:space="preserve"> correlate to the </w:t>
            </w:r>
            <w:r>
              <w:rPr>
                <w:rFonts w:ascii="Arial" w:hAnsi="Arial" w:cs="Arial"/>
                <w:sz w:val="18"/>
                <w:szCs w:val="18"/>
              </w:rPr>
              <w:t xml:space="preserve">product </w:t>
            </w:r>
            <w:r w:rsidRPr="00F83B6B">
              <w:rPr>
                <w:rFonts w:ascii="Arial" w:hAnsi="Arial" w:cs="Arial"/>
                <w:sz w:val="18"/>
                <w:szCs w:val="18"/>
              </w:rPr>
              <w:t xml:space="preserve">prescribed </w:t>
            </w:r>
            <w:r>
              <w:rPr>
                <w:rFonts w:ascii="Arial" w:hAnsi="Arial" w:cs="Arial"/>
                <w:sz w:val="18"/>
                <w:szCs w:val="18"/>
              </w:rPr>
              <w:t xml:space="preserve">or subsequently confirmed with the prescriber. </w:t>
            </w:r>
          </w:p>
          <w:p w:rsidR="00E10391" w:rsidRPr="00EE2322" w:rsidRDefault="00E10391" w:rsidP="00E10391">
            <w:pPr>
              <w:numPr>
                <w:ilvl w:val="0"/>
                <w:numId w:val="24"/>
              </w:numPr>
              <w:spacing w:before="40" w:after="40"/>
              <w:ind w:left="284"/>
              <w:rPr>
                <w:rFonts w:ascii="Arial" w:hAnsi="Arial" w:cs="Arial"/>
                <w:sz w:val="18"/>
                <w:szCs w:val="18"/>
              </w:rPr>
            </w:pPr>
            <w:r>
              <w:rPr>
                <w:rFonts w:ascii="Arial" w:hAnsi="Arial" w:cs="Arial"/>
                <w:sz w:val="18"/>
                <w:szCs w:val="18"/>
              </w:rPr>
              <w:t>Ability to demonstrate a rigorous and systematic process for checking medicines dispensed by others including non-pharmacists.</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7</w:t>
            </w:r>
            <w:r w:rsidRPr="00F83B6B">
              <w:rPr>
                <w:rFonts w:ascii="Arial" w:hAnsi="Arial" w:cs="Arial"/>
                <w:sz w:val="18"/>
                <w:szCs w:val="18"/>
              </w:rPr>
              <w:tab/>
              <w:t>Accepts responsibility for ensuring dispensed medicines are issued (and administered for supervised dosing in the pharmacy) to the correct consumer.</w:t>
            </w:r>
          </w:p>
        </w:tc>
        <w:tc>
          <w:tcPr>
            <w:tcW w:w="6237" w:type="dxa"/>
            <w:shd w:val="clear" w:color="auto" w:fill="DBE5F1" w:themeFill="accent1" w:themeFillTint="33"/>
          </w:tcPr>
          <w:p w:rsidR="00E10391"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 xml:space="preserve">Ability to demonstrate the use of a checking process of consumer/dosing details with those on the prescription at the time </w:t>
            </w:r>
            <w:r>
              <w:rPr>
                <w:rFonts w:ascii="Arial" w:hAnsi="Arial" w:cs="Arial"/>
                <w:sz w:val="18"/>
                <w:szCs w:val="18"/>
              </w:rPr>
              <w:t xml:space="preserve">a compounded product is </w:t>
            </w:r>
            <w:r w:rsidRPr="00F83B6B">
              <w:rPr>
                <w:rFonts w:ascii="Arial" w:hAnsi="Arial" w:cs="Arial"/>
                <w:sz w:val="18"/>
                <w:szCs w:val="18"/>
              </w:rPr>
              <w:t>supplied.</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8</w:t>
            </w:r>
            <w:r w:rsidRPr="00F83B6B">
              <w:rPr>
                <w:rFonts w:ascii="Arial" w:hAnsi="Arial" w:cs="Arial"/>
                <w:sz w:val="18"/>
                <w:szCs w:val="18"/>
              </w:rPr>
              <w:tab/>
              <w:t>Takes prompt action to minimise the impact of dispensing errors and reduce the risk of recurrence.</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describe the steps necessary to minimise the impact of dispensing errors on consumers and minimise the risk of recurrence.</w:t>
            </w:r>
          </w:p>
        </w:tc>
      </w:tr>
      <w:tr w:rsidR="00E10391" w:rsidRPr="00F83B6B" w:rsidTr="00A66271">
        <w:trPr>
          <w:cantSplit/>
        </w:trPr>
        <w:tc>
          <w:tcPr>
            <w:tcW w:w="9923" w:type="dxa"/>
            <w:gridSpan w:val="2"/>
            <w:tcBorders>
              <w:bottom w:val="single" w:sz="4" w:space="0" w:color="auto"/>
            </w:tcBorders>
            <w:shd w:val="clear" w:color="auto" w:fill="FABF8F" w:themeFill="accent6" w:themeFillTint="99"/>
          </w:tcPr>
          <w:p w:rsidR="00E10391" w:rsidRPr="00F83B6B" w:rsidRDefault="00E10391" w:rsidP="00A66271">
            <w:pPr>
              <w:spacing w:before="40" w:after="40"/>
              <w:ind w:left="284" w:hanging="284"/>
              <w:rPr>
                <w:rFonts w:ascii="Arial" w:hAnsi="Arial" w:cs="Arial"/>
                <w:b/>
                <w:sz w:val="18"/>
                <w:szCs w:val="18"/>
              </w:rPr>
            </w:pPr>
            <w:r w:rsidRPr="00F83B6B">
              <w:rPr>
                <w:rFonts w:ascii="Arial" w:hAnsi="Arial" w:cs="Arial"/>
                <w:b/>
                <w:sz w:val="18"/>
                <w:szCs w:val="18"/>
              </w:rPr>
              <w:t>Element 2 – Manage records</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1</w:t>
            </w:r>
            <w:r w:rsidRPr="00F83B6B">
              <w:rPr>
                <w:rFonts w:ascii="Arial" w:hAnsi="Arial" w:cs="Arial"/>
                <w:sz w:val="18"/>
                <w:szCs w:val="18"/>
              </w:rPr>
              <w:tab/>
              <w:t>Completes prescription records for dispensed medicines, including controlled substances, consistent with legal requirements.</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describe the recording requirements for prescri</w:t>
            </w:r>
            <w:r>
              <w:rPr>
                <w:rFonts w:ascii="Arial" w:hAnsi="Arial" w:cs="Arial"/>
                <w:sz w:val="18"/>
                <w:szCs w:val="18"/>
              </w:rPr>
              <w:t>bed compounded products.</w:t>
            </w:r>
          </w:p>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demonstrate maintenance of prescription records that include prescription annotations and comply with legal requirements.</w:t>
            </w:r>
          </w:p>
        </w:tc>
      </w:tr>
      <w:tr w:rsidR="00E10391" w:rsidRPr="00F83B6B" w:rsidTr="00A66271">
        <w:trPr>
          <w:cantSplit/>
        </w:trPr>
        <w:tc>
          <w:tcPr>
            <w:tcW w:w="3686" w:type="dxa"/>
            <w:tcBorders>
              <w:bottom w:val="single" w:sz="4" w:space="0" w:color="auto"/>
            </w:tcBorders>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lastRenderedPageBreak/>
              <w:t>2</w:t>
            </w:r>
            <w:r w:rsidRPr="00F83B6B">
              <w:rPr>
                <w:rFonts w:ascii="Arial" w:hAnsi="Arial" w:cs="Arial"/>
                <w:sz w:val="18"/>
                <w:szCs w:val="18"/>
              </w:rPr>
              <w:tab/>
              <w:t>Maintains accurate and up-to-date consumer medication records consistent with professional standards and conventions.</w:t>
            </w:r>
          </w:p>
        </w:tc>
        <w:tc>
          <w:tcPr>
            <w:tcW w:w="6237" w:type="dxa"/>
            <w:tcBorders>
              <w:bottom w:val="single" w:sz="4" w:space="0" w:color="auto"/>
            </w:tcBorders>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describe and/or demonstrate compliance with professional conventions in relation to maintenance of consumer medication records.</w:t>
            </w:r>
          </w:p>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promptly access additional guidance from professional guidelines and standards.</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3</w:t>
            </w:r>
            <w:r w:rsidRPr="00F83B6B">
              <w:rPr>
                <w:rFonts w:ascii="Arial" w:hAnsi="Arial" w:cs="Arial"/>
                <w:sz w:val="18"/>
                <w:szCs w:val="18"/>
              </w:rPr>
              <w:tab/>
              <w:t>Accurately records details of medication incidents (including ‘near misses’) including the actions taken to minimise their effects and prevent recurrence.</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describe appropriate recording and response requirements for dispensing errors such as provided in </w:t>
            </w:r>
            <w:r w:rsidRPr="00F83B6B">
              <w:rPr>
                <w:rFonts w:ascii="Arial" w:hAnsi="Arial" w:cs="Arial"/>
                <w:i/>
                <w:sz w:val="18"/>
                <w:szCs w:val="18"/>
              </w:rPr>
              <w:t>Procedure to follow in case of a dispensing error</w:t>
            </w:r>
            <w:r w:rsidRPr="00F83B6B">
              <w:rPr>
                <w:rFonts w:ascii="Arial" w:hAnsi="Arial" w:cs="Arial"/>
                <w:sz w:val="18"/>
                <w:szCs w:val="18"/>
              </w:rPr>
              <w:t xml:space="preserve"> (Pharmaceutical Defence Limited).</w:t>
            </w:r>
          </w:p>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demonstrate compliance with workplace procedures for documenting and responding to medication incidents.</w:t>
            </w:r>
          </w:p>
        </w:tc>
      </w:tr>
      <w:tr w:rsidR="00E10391" w:rsidRPr="00F83B6B" w:rsidTr="00A66271">
        <w:trPr>
          <w:cantSplit/>
        </w:trPr>
        <w:tc>
          <w:tcPr>
            <w:tcW w:w="9923" w:type="dxa"/>
            <w:gridSpan w:val="2"/>
            <w:tcBorders>
              <w:bottom w:val="single" w:sz="4" w:space="0" w:color="auto"/>
            </w:tcBorders>
            <w:shd w:val="clear" w:color="auto" w:fill="FABF8F" w:themeFill="accent6" w:themeFillTint="99"/>
          </w:tcPr>
          <w:p w:rsidR="00E10391" w:rsidRPr="00F83B6B" w:rsidRDefault="00E10391" w:rsidP="00A66271">
            <w:pPr>
              <w:spacing w:before="40" w:after="40"/>
              <w:ind w:left="284" w:hanging="284"/>
              <w:rPr>
                <w:rFonts w:ascii="Arial" w:hAnsi="Arial" w:cs="Arial"/>
                <w:b/>
                <w:sz w:val="18"/>
                <w:szCs w:val="18"/>
              </w:rPr>
            </w:pPr>
            <w:r w:rsidRPr="00F83B6B">
              <w:rPr>
                <w:rFonts w:ascii="Arial" w:hAnsi="Arial" w:cs="Arial"/>
                <w:b/>
                <w:sz w:val="18"/>
                <w:szCs w:val="18"/>
              </w:rPr>
              <w:t>Element 3 – Assist consumer understanding and adherence</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1</w:t>
            </w:r>
            <w:r w:rsidRPr="00F83B6B">
              <w:rPr>
                <w:rFonts w:ascii="Arial" w:hAnsi="Arial" w:cs="Arial"/>
                <w:sz w:val="18"/>
                <w:szCs w:val="18"/>
              </w:rPr>
              <w:tab/>
              <w:t>Liaises with the consumer/carer to clarify their information needs.</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communicate with consumers/carers to confirm their knowledge and understanding of their disease/condition and medications and clarify the level, type and form of information required.</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2</w:t>
            </w:r>
            <w:r w:rsidRPr="00F83B6B">
              <w:rPr>
                <w:rFonts w:ascii="Arial" w:hAnsi="Arial" w:cs="Arial"/>
                <w:sz w:val="18"/>
                <w:szCs w:val="18"/>
              </w:rPr>
              <w:tab/>
              <w:t>Identifies additional information needs arising from changes in the medicines or medication treatment.</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 xml:space="preserve">Ability to identify circumstances where a change in appearance of </w:t>
            </w:r>
            <w:r>
              <w:rPr>
                <w:rFonts w:ascii="Arial" w:hAnsi="Arial" w:cs="Arial"/>
                <w:sz w:val="18"/>
                <w:szCs w:val="18"/>
              </w:rPr>
              <w:t>compounded product</w:t>
            </w:r>
            <w:r w:rsidRPr="00F83B6B">
              <w:rPr>
                <w:rFonts w:ascii="Arial" w:hAnsi="Arial" w:cs="Arial"/>
                <w:sz w:val="18"/>
                <w:szCs w:val="18"/>
              </w:rPr>
              <w:t xml:space="preserve"> or its packaging needs to be discussed with the consumer/carer.</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3</w:t>
            </w:r>
            <w:r w:rsidRPr="00F83B6B">
              <w:rPr>
                <w:rFonts w:ascii="Arial" w:hAnsi="Arial" w:cs="Arial"/>
                <w:sz w:val="18"/>
                <w:szCs w:val="18"/>
              </w:rPr>
              <w:tab/>
              <w:t>Provides advice on the medicine, dosing regimen, precautions, possible adverse effects and any specific storage requirements.</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describe, in terms appropriate for informing the consumer, the therapeutic indications, pharmacological actions and precautions for dispensed </w:t>
            </w:r>
            <w:r>
              <w:rPr>
                <w:rFonts w:ascii="Arial" w:hAnsi="Arial" w:cs="Arial"/>
                <w:sz w:val="18"/>
                <w:szCs w:val="18"/>
              </w:rPr>
              <w:t>compounded products</w:t>
            </w:r>
            <w:r w:rsidRPr="00F83B6B">
              <w:rPr>
                <w:rFonts w:ascii="Arial" w:hAnsi="Arial" w:cs="Arial"/>
                <w:sz w:val="18"/>
                <w:szCs w:val="18"/>
              </w:rPr>
              <w:t>.</w:t>
            </w:r>
          </w:p>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identify and describe the most relevant adverse effects and to discuss these with consumers/carers without causing alarm.</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4</w:t>
            </w:r>
            <w:r w:rsidRPr="00F83B6B">
              <w:rPr>
                <w:rFonts w:ascii="Arial" w:hAnsi="Arial" w:cs="Arial"/>
                <w:sz w:val="18"/>
                <w:szCs w:val="18"/>
              </w:rPr>
              <w:tab/>
              <w:t>Reinforces and clarifies verbal advice by demonstrating administration technique and using written consumer information resources as required.</w:t>
            </w:r>
          </w:p>
        </w:tc>
        <w:tc>
          <w:tcPr>
            <w:tcW w:w="6237" w:type="dxa"/>
            <w:shd w:val="clear" w:color="auto" w:fill="DBE5F1" w:themeFill="accent1" w:themeFillTint="33"/>
          </w:tcPr>
          <w:p w:rsidR="00E10391"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use written consumer information</w:t>
            </w:r>
            <w:r>
              <w:rPr>
                <w:rFonts w:ascii="Arial" w:hAnsi="Arial" w:cs="Arial"/>
                <w:sz w:val="18"/>
                <w:szCs w:val="18"/>
              </w:rPr>
              <w:t>, where available,</w:t>
            </w:r>
            <w:r w:rsidRPr="00F83B6B">
              <w:rPr>
                <w:rFonts w:ascii="Arial" w:hAnsi="Arial" w:cs="Arial"/>
                <w:sz w:val="18"/>
                <w:szCs w:val="18"/>
              </w:rPr>
              <w:t xml:space="preserve"> to tailor information relevant to specific consumers and/or circumstances.</w:t>
            </w:r>
          </w:p>
          <w:p w:rsidR="00E10391" w:rsidRPr="00F83B6B" w:rsidRDefault="00E10391" w:rsidP="00E10391">
            <w:pPr>
              <w:numPr>
                <w:ilvl w:val="0"/>
                <w:numId w:val="24"/>
              </w:numPr>
              <w:spacing w:before="40" w:after="40"/>
              <w:ind w:left="284"/>
              <w:rPr>
                <w:rFonts w:ascii="Arial" w:hAnsi="Arial" w:cs="Arial"/>
                <w:sz w:val="18"/>
                <w:szCs w:val="18"/>
              </w:rPr>
            </w:pPr>
            <w:r>
              <w:rPr>
                <w:rFonts w:ascii="Arial" w:hAnsi="Arial" w:cs="Arial"/>
                <w:sz w:val="18"/>
                <w:szCs w:val="18"/>
              </w:rPr>
              <w:t>Ability to describe additional sources of information provided to consumers (e.g. C</w:t>
            </w:r>
            <w:r w:rsidR="000C48F1">
              <w:rPr>
                <w:rFonts w:ascii="Arial" w:hAnsi="Arial" w:cs="Arial"/>
                <w:sz w:val="18"/>
                <w:szCs w:val="18"/>
              </w:rPr>
              <w:t xml:space="preserve">onsumer </w:t>
            </w:r>
            <w:r>
              <w:rPr>
                <w:rFonts w:ascii="Arial" w:hAnsi="Arial" w:cs="Arial"/>
                <w:sz w:val="18"/>
                <w:szCs w:val="18"/>
              </w:rPr>
              <w:t>M</w:t>
            </w:r>
            <w:r w:rsidR="000C48F1">
              <w:rPr>
                <w:rFonts w:ascii="Arial" w:hAnsi="Arial" w:cs="Arial"/>
                <w:sz w:val="18"/>
                <w:szCs w:val="18"/>
              </w:rPr>
              <w:t xml:space="preserve">edicines </w:t>
            </w:r>
            <w:r>
              <w:rPr>
                <w:rFonts w:ascii="Arial" w:hAnsi="Arial" w:cs="Arial"/>
                <w:sz w:val="18"/>
                <w:szCs w:val="18"/>
              </w:rPr>
              <w:t>I</w:t>
            </w:r>
            <w:r w:rsidR="000C48F1">
              <w:rPr>
                <w:rFonts w:ascii="Arial" w:hAnsi="Arial" w:cs="Arial"/>
                <w:sz w:val="18"/>
                <w:szCs w:val="18"/>
              </w:rPr>
              <w:t>nformation (CMI)</w:t>
            </w:r>
            <w:r>
              <w:rPr>
                <w:rFonts w:ascii="Arial" w:hAnsi="Arial" w:cs="Arial"/>
                <w:sz w:val="18"/>
                <w:szCs w:val="18"/>
              </w:rPr>
              <w:t xml:space="preserve"> or product information sheets) to facilitate the safe and effective use of a compounded product.</w:t>
            </w:r>
          </w:p>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 xml:space="preserve">Ability to describe and/or demonstrate </w:t>
            </w:r>
            <w:r>
              <w:rPr>
                <w:rFonts w:ascii="Arial" w:hAnsi="Arial" w:cs="Arial"/>
                <w:sz w:val="18"/>
                <w:szCs w:val="18"/>
              </w:rPr>
              <w:t xml:space="preserve">specific use or </w:t>
            </w:r>
            <w:r w:rsidRPr="00F83B6B">
              <w:rPr>
                <w:rFonts w:ascii="Arial" w:hAnsi="Arial" w:cs="Arial"/>
                <w:sz w:val="18"/>
                <w:szCs w:val="18"/>
              </w:rPr>
              <w:t xml:space="preserve">administration technique for </w:t>
            </w:r>
            <w:r>
              <w:rPr>
                <w:rFonts w:ascii="Arial" w:hAnsi="Arial" w:cs="Arial"/>
                <w:sz w:val="18"/>
                <w:szCs w:val="18"/>
              </w:rPr>
              <w:t>complex compounded products</w:t>
            </w:r>
            <w:r w:rsidRPr="00F83B6B">
              <w:rPr>
                <w:rFonts w:ascii="Arial" w:hAnsi="Arial" w:cs="Arial"/>
                <w:sz w:val="18"/>
                <w:szCs w:val="18"/>
              </w:rPr>
              <w:t>.</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5</w:t>
            </w:r>
            <w:r w:rsidRPr="00F83B6B">
              <w:rPr>
                <w:rFonts w:ascii="Arial" w:hAnsi="Arial" w:cs="Arial"/>
                <w:sz w:val="18"/>
                <w:szCs w:val="18"/>
              </w:rPr>
              <w:tab/>
              <w:t>Checks that consumers understand why the medicines have been prescribed and how they are to be used/administered and stored.</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 xml:space="preserve">Ability to check that </w:t>
            </w:r>
            <w:r>
              <w:rPr>
                <w:rFonts w:ascii="Arial" w:hAnsi="Arial" w:cs="Arial"/>
                <w:sz w:val="18"/>
                <w:szCs w:val="18"/>
              </w:rPr>
              <w:t xml:space="preserve">advice and </w:t>
            </w:r>
            <w:r w:rsidRPr="00F83B6B">
              <w:rPr>
                <w:rFonts w:ascii="Arial" w:hAnsi="Arial" w:cs="Arial"/>
                <w:sz w:val="18"/>
                <w:szCs w:val="18"/>
              </w:rPr>
              <w:t xml:space="preserve">information provided </w:t>
            </w:r>
            <w:r>
              <w:rPr>
                <w:rFonts w:ascii="Arial" w:hAnsi="Arial" w:cs="Arial"/>
                <w:sz w:val="18"/>
                <w:szCs w:val="18"/>
              </w:rPr>
              <w:t xml:space="preserve">about a complex compounded product </w:t>
            </w:r>
            <w:r w:rsidRPr="00F83B6B">
              <w:rPr>
                <w:rFonts w:ascii="Arial" w:hAnsi="Arial" w:cs="Arial"/>
                <w:sz w:val="18"/>
                <w:szCs w:val="18"/>
              </w:rPr>
              <w:t>has been understood (e.g. uses questions to confirm understanding, interprets cues that information has not been understood).</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6</w:t>
            </w:r>
            <w:r w:rsidRPr="00F83B6B">
              <w:rPr>
                <w:rFonts w:ascii="Arial" w:hAnsi="Arial" w:cs="Arial"/>
                <w:sz w:val="18"/>
                <w:szCs w:val="18"/>
              </w:rPr>
              <w:tab/>
              <w:t>Works with the consumer/carer to positively impact on adherence with prescribed treatment regimen.</w:t>
            </w:r>
          </w:p>
        </w:tc>
        <w:tc>
          <w:tcPr>
            <w:tcW w:w="6237" w:type="dxa"/>
            <w:shd w:val="clear" w:color="auto" w:fill="DBE5F1" w:themeFill="accent1" w:themeFillTint="33"/>
          </w:tcPr>
          <w:p w:rsidR="00E10391"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discuss with consumers/carers the importance of adherence and possible courses of action that may improve their ability or willingness to adhere</w:t>
            </w:r>
            <w:r>
              <w:rPr>
                <w:rFonts w:ascii="Arial" w:hAnsi="Arial" w:cs="Arial"/>
                <w:sz w:val="18"/>
                <w:szCs w:val="18"/>
              </w:rPr>
              <w:t xml:space="preserve"> to prescribed treatment</w:t>
            </w:r>
            <w:r w:rsidRPr="00F83B6B">
              <w:rPr>
                <w:rFonts w:ascii="Arial" w:hAnsi="Arial" w:cs="Arial"/>
                <w:sz w:val="18"/>
                <w:szCs w:val="18"/>
              </w:rPr>
              <w:t>.</w:t>
            </w:r>
          </w:p>
          <w:p w:rsidR="00E10391" w:rsidRPr="00F83B6B" w:rsidRDefault="00E10391" w:rsidP="00E10391">
            <w:pPr>
              <w:numPr>
                <w:ilvl w:val="0"/>
                <w:numId w:val="24"/>
              </w:numPr>
              <w:spacing w:before="40" w:after="40"/>
              <w:ind w:left="284" w:hanging="284"/>
              <w:rPr>
                <w:rFonts w:ascii="Arial" w:hAnsi="Arial" w:cs="Arial"/>
                <w:sz w:val="18"/>
                <w:szCs w:val="18"/>
              </w:rPr>
            </w:pPr>
            <w:r>
              <w:rPr>
                <w:rFonts w:ascii="Arial" w:hAnsi="Arial" w:cs="Arial"/>
                <w:sz w:val="18"/>
                <w:szCs w:val="18"/>
              </w:rPr>
              <w:t>Ability to demonstrate the use of aids/appliances intended to assist the use of complex compounded products.</w:t>
            </w:r>
          </w:p>
        </w:tc>
      </w:tr>
    </w:tbl>
    <w:p w:rsidR="00E10391" w:rsidRPr="00F83B6B" w:rsidRDefault="00E10391" w:rsidP="00E10391">
      <w:pPr>
        <w:rPr>
          <w:rFonts w:ascii="Arial" w:hAnsi="Arial" w:cs="Arial"/>
          <w:sz w:val="18"/>
          <w:szCs w:val="18"/>
        </w:rPr>
      </w:pPr>
    </w:p>
    <w:p w:rsidR="00E10391" w:rsidRPr="00F83B6B" w:rsidRDefault="00E10391" w:rsidP="00E10391">
      <w:pPr>
        <w:rPr>
          <w:rFonts w:ascii="Arial" w:hAnsi="Arial" w:cs="Arial"/>
          <w:sz w:val="18"/>
          <w:szCs w:val="18"/>
        </w:rPr>
      </w:pPr>
    </w:p>
    <w:p w:rsidR="00E10391" w:rsidRPr="00D80945" w:rsidRDefault="00E10391" w:rsidP="00E10391">
      <w:pPr>
        <w:pStyle w:val="Heading2"/>
        <w:jc w:val="center"/>
        <w:rPr>
          <w:rFonts w:ascii="Arial" w:hAnsi="Arial" w:cs="Arial"/>
          <w:i w:val="0"/>
        </w:rPr>
      </w:pPr>
      <w:bookmarkStart w:id="24" w:name="_Toc377638246"/>
      <w:r w:rsidRPr="00D80945">
        <w:rPr>
          <w:rFonts w:ascii="Arial" w:hAnsi="Arial" w:cs="Arial"/>
          <w:i w:val="0"/>
          <w:color w:val="FF0000"/>
        </w:rPr>
        <w:t>Domain 5:</w:t>
      </w:r>
      <w:r w:rsidRPr="00D80945">
        <w:rPr>
          <w:rFonts w:ascii="Arial" w:hAnsi="Arial" w:cs="Arial"/>
          <w:i w:val="0"/>
        </w:rPr>
        <w:t xml:space="preserve"> Prepare pharmaceutical products</w:t>
      </w:r>
      <w:bookmarkEnd w:id="24"/>
    </w:p>
    <w:p w:rsidR="00E10391" w:rsidRPr="00D80945" w:rsidRDefault="00E10391" w:rsidP="00E10391">
      <w:pPr>
        <w:pStyle w:val="Heading3"/>
        <w:rPr>
          <w:rFonts w:ascii="Arial" w:hAnsi="Arial" w:cs="Arial"/>
        </w:rPr>
      </w:pPr>
      <w:bookmarkStart w:id="25" w:name="_Toc377638247"/>
      <w:r w:rsidRPr="00D80945">
        <w:rPr>
          <w:rFonts w:ascii="Arial" w:hAnsi="Arial" w:cs="Arial"/>
          <w:color w:val="FF0000"/>
        </w:rPr>
        <w:t>Standard 5.1</w:t>
      </w:r>
      <w:r w:rsidRPr="00D80945">
        <w:rPr>
          <w:rFonts w:ascii="Arial" w:hAnsi="Arial" w:cs="Arial"/>
        </w:rPr>
        <w:t xml:space="preserve"> Consider product requirements</w:t>
      </w:r>
      <w:bookmarkEnd w:id="25"/>
    </w:p>
    <w:p w:rsidR="00E10391" w:rsidRPr="00D80945" w:rsidRDefault="00E10391" w:rsidP="00E10391">
      <w:pPr>
        <w:rPr>
          <w:rFonts w:ascii="Arial" w:hAnsi="Arial" w:cs="Arial"/>
          <w:sz w:val="18"/>
          <w:szCs w:val="18"/>
        </w:rPr>
      </w:pPr>
    </w:p>
    <w:p w:rsidR="00E10391" w:rsidRPr="00F83B6B" w:rsidRDefault="00E10391" w:rsidP="00E10391">
      <w:pPr>
        <w:pBdr>
          <w:top w:val="single" w:sz="4" w:space="1" w:color="auto" w:shadow="1"/>
          <w:left w:val="single" w:sz="4" w:space="4" w:color="auto" w:shadow="1"/>
          <w:bottom w:val="single" w:sz="4" w:space="1" w:color="auto" w:shadow="1"/>
          <w:right w:val="single" w:sz="4" w:space="4" w:color="auto" w:shadow="1"/>
        </w:pBdr>
        <w:ind w:left="1418" w:right="1418"/>
        <w:jc w:val="center"/>
        <w:rPr>
          <w:rFonts w:ascii="Arial" w:hAnsi="Arial" w:cs="Arial"/>
          <w:b/>
          <w:i/>
          <w:color w:val="FF0000"/>
          <w:sz w:val="18"/>
          <w:szCs w:val="18"/>
        </w:rPr>
      </w:pPr>
      <w:r w:rsidRPr="00F83B6B">
        <w:rPr>
          <w:rFonts w:ascii="Arial" w:hAnsi="Arial" w:cs="Arial"/>
          <w:b/>
          <w:i/>
          <w:color w:val="FF0000"/>
          <w:sz w:val="18"/>
          <w:szCs w:val="18"/>
        </w:rPr>
        <w:t>NOTE:  Standard 5.1 underpins all of the Standards in this Domain</w:t>
      </w:r>
      <w:r w:rsidR="002F0474">
        <w:rPr>
          <w:rFonts w:ascii="Arial" w:hAnsi="Arial" w:cs="Arial"/>
          <w:b/>
          <w:i/>
          <w:color w:val="FF0000"/>
          <w:sz w:val="18"/>
          <w:szCs w:val="18"/>
        </w:rPr>
        <w:t xml:space="preserve"> and </w:t>
      </w:r>
      <w:r w:rsidRPr="00F83B6B">
        <w:rPr>
          <w:rFonts w:ascii="Arial" w:hAnsi="Arial" w:cs="Arial"/>
          <w:b/>
          <w:i/>
          <w:color w:val="FF0000"/>
          <w:sz w:val="18"/>
          <w:szCs w:val="18"/>
        </w:rPr>
        <w:t>must be used in conjunction with each of Standards 5.2, 5.3 and 5.4.</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237"/>
      </w:tblGrid>
      <w:tr w:rsidR="00E10391" w:rsidRPr="00F83B6B" w:rsidTr="00A66271">
        <w:trPr>
          <w:cantSplit/>
          <w:tblHeader/>
        </w:trPr>
        <w:tc>
          <w:tcPr>
            <w:tcW w:w="3686" w:type="dxa"/>
            <w:tcBorders>
              <w:top w:val="nil"/>
              <w:left w:val="nil"/>
              <w:right w:val="nil"/>
            </w:tcBorders>
          </w:tcPr>
          <w:p w:rsidR="005F6929" w:rsidRPr="00F83B6B" w:rsidRDefault="005F6929" w:rsidP="00A66271">
            <w:pPr>
              <w:spacing w:before="40" w:after="40"/>
              <w:rPr>
                <w:rFonts w:ascii="Arial" w:hAnsi="Arial" w:cs="Arial"/>
                <w:b/>
                <w:sz w:val="18"/>
                <w:szCs w:val="18"/>
              </w:rPr>
            </w:pPr>
          </w:p>
        </w:tc>
        <w:tc>
          <w:tcPr>
            <w:tcW w:w="6237" w:type="dxa"/>
            <w:tcBorders>
              <w:top w:val="nil"/>
              <w:left w:val="nil"/>
              <w:right w:val="nil"/>
            </w:tcBorders>
          </w:tcPr>
          <w:p w:rsidR="00E10391" w:rsidRPr="00F83B6B" w:rsidRDefault="00E10391" w:rsidP="00A66271">
            <w:pPr>
              <w:spacing w:before="40" w:after="40"/>
              <w:ind w:left="284" w:hanging="284"/>
              <w:jc w:val="right"/>
              <w:rPr>
                <w:rFonts w:ascii="Arial" w:hAnsi="Arial" w:cs="Arial"/>
                <w:b/>
                <w:i/>
                <w:color w:val="FF0000"/>
                <w:sz w:val="18"/>
                <w:szCs w:val="18"/>
              </w:rPr>
            </w:pPr>
          </w:p>
        </w:tc>
      </w:tr>
      <w:tr w:rsidR="00E10391" w:rsidRPr="00F83B6B" w:rsidTr="00A66271">
        <w:trPr>
          <w:cantSplit/>
          <w:tblHeader/>
        </w:trPr>
        <w:tc>
          <w:tcPr>
            <w:tcW w:w="3686" w:type="dxa"/>
            <w:tcBorders>
              <w:bottom w:val="single" w:sz="4" w:space="0" w:color="auto"/>
            </w:tcBorders>
            <w:shd w:val="clear" w:color="auto" w:fill="548DD4" w:themeFill="text2" w:themeFillTint="99"/>
          </w:tcPr>
          <w:p w:rsidR="00E10391" w:rsidRPr="00F83B6B" w:rsidRDefault="00E10391" w:rsidP="00186360">
            <w:pPr>
              <w:spacing w:before="40" w:after="40"/>
              <w:ind w:left="567" w:hanging="567"/>
              <w:rPr>
                <w:rFonts w:ascii="Arial" w:hAnsi="Arial" w:cs="Arial"/>
                <w:b/>
                <w:sz w:val="18"/>
                <w:szCs w:val="18"/>
              </w:rPr>
            </w:pPr>
            <w:r w:rsidRPr="00F83B6B">
              <w:rPr>
                <w:rFonts w:ascii="Arial" w:hAnsi="Arial" w:cs="Arial"/>
                <w:b/>
                <w:sz w:val="18"/>
                <w:szCs w:val="18"/>
              </w:rPr>
              <w:t xml:space="preserve">Performance </w:t>
            </w:r>
            <w:r w:rsidR="00186360">
              <w:rPr>
                <w:rFonts w:ascii="Arial" w:hAnsi="Arial" w:cs="Arial"/>
                <w:b/>
                <w:sz w:val="18"/>
                <w:szCs w:val="18"/>
              </w:rPr>
              <w:t>c</w:t>
            </w:r>
            <w:r w:rsidRPr="00F83B6B">
              <w:rPr>
                <w:rFonts w:ascii="Arial" w:hAnsi="Arial" w:cs="Arial"/>
                <w:b/>
                <w:sz w:val="18"/>
                <w:szCs w:val="18"/>
              </w:rPr>
              <w:t>riteria</w:t>
            </w:r>
          </w:p>
        </w:tc>
        <w:tc>
          <w:tcPr>
            <w:tcW w:w="6237" w:type="dxa"/>
            <w:tcBorders>
              <w:bottom w:val="single" w:sz="4" w:space="0" w:color="auto"/>
            </w:tcBorders>
            <w:shd w:val="clear" w:color="auto" w:fill="548DD4" w:themeFill="text2" w:themeFillTint="99"/>
          </w:tcPr>
          <w:p w:rsidR="00E10391" w:rsidRPr="00F83B6B" w:rsidRDefault="00E10391" w:rsidP="00186360">
            <w:pPr>
              <w:spacing w:before="40" w:after="40"/>
              <w:ind w:left="284" w:hanging="284"/>
              <w:rPr>
                <w:rFonts w:ascii="Arial" w:hAnsi="Arial" w:cs="Arial"/>
                <w:b/>
                <w:sz w:val="18"/>
                <w:szCs w:val="18"/>
              </w:rPr>
            </w:pPr>
            <w:r w:rsidRPr="00F83B6B">
              <w:rPr>
                <w:rFonts w:ascii="Arial" w:hAnsi="Arial" w:cs="Arial"/>
                <w:b/>
                <w:sz w:val="18"/>
                <w:szCs w:val="18"/>
              </w:rPr>
              <w:t xml:space="preserve">Evidence </w:t>
            </w:r>
            <w:r w:rsidR="00186360">
              <w:rPr>
                <w:rFonts w:ascii="Arial" w:hAnsi="Arial" w:cs="Arial"/>
                <w:b/>
                <w:sz w:val="18"/>
                <w:szCs w:val="18"/>
              </w:rPr>
              <w:t>e</w:t>
            </w:r>
            <w:r w:rsidRPr="00F83B6B">
              <w:rPr>
                <w:rFonts w:ascii="Arial" w:hAnsi="Arial" w:cs="Arial"/>
                <w:b/>
                <w:sz w:val="18"/>
                <w:szCs w:val="18"/>
              </w:rPr>
              <w:t>xamples</w:t>
            </w:r>
          </w:p>
        </w:tc>
      </w:tr>
      <w:tr w:rsidR="00E10391" w:rsidRPr="00F83B6B" w:rsidTr="00A66271">
        <w:trPr>
          <w:cantSplit/>
        </w:trPr>
        <w:tc>
          <w:tcPr>
            <w:tcW w:w="9923" w:type="dxa"/>
            <w:gridSpan w:val="2"/>
            <w:tcBorders>
              <w:bottom w:val="single" w:sz="4" w:space="0" w:color="auto"/>
            </w:tcBorders>
            <w:shd w:val="clear" w:color="auto" w:fill="FABF8F" w:themeFill="accent6" w:themeFillTint="99"/>
          </w:tcPr>
          <w:p w:rsidR="00E10391" w:rsidRPr="00F83B6B" w:rsidRDefault="00E10391" w:rsidP="00A66271">
            <w:pPr>
              <w:spacing w:before="40" w:after="40"/>
              <w:ind w:left="284" w:hanging="284"/>
              <w:rPr>
                <w:rFonts w:ascii="Arial" w:hAnsi="Arial" w:cs="Arial"/>
                <w:b/>
                <w:sz w:val="18"/>
                <w:szCs w:val="18"/>
              </w:rPr>
            </w:pPr>
            <w:r w:rsidRPr="00F83B6B">
              <w:rPr>
                <w:rFonts w:ascii="Arial" w:hAnsi="Arial" w:cs="Arial"/>
                <w:b/>
                <w:sz w:val="18"/>
                <w:szCs w:val="18"/>
              </w:rPr>
              <w:t xml:space="preserve">Element 1 – Consider legislative and professional obligations </w:t>
            </w:r>
          </w:p>
        </w:tc>
      </w:tr>
      <w:tr w:rsidR="00E10391" w:rsidRPr="00F83B6B" w:rsidTr="00A66271">
        <w:trPr>
          <w:cantSplit/>
          <w:trHeight w:val="87"/>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lastRenderedPageBreak/>
              <w:t>1</w:t>
            </w:r>
            <w:r w:rsidRPr="00F83B6B">
              <w:rPr>
                <w:rFonts w:ascii="Arial" w:hAnsi="Arial" w:cs="Arial"/>
                <w:sz w:val="18"/>
                <w:szCs w:val="18"/>
              </w:rPr>
              <w:tab/>
              <w:t>Understands specific codes and regulations that apply to the preparation of pharmaceutical products.</w:t>
            </w:r>
          </w:p>
        </w:tc>
        <w:tc>
          <w:tcPr>
            <w:tcW w:w="6237" w:type="dxa"/>
            <w:shd w:val="clear" w:color="auto" w:fill="DBE5F1" w:themeFill="accent1" w:themeFillTint="33"/>
          </w:tcPr>
          <w:p w:rsidR="00E10391"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Demonstrated understanding of relevant codes (e.g. </w:t>
            </w:r>
            <w:r w:rsidRPr="00F83B6B">
              <w:rPr>
                <w:rFonts w:ascii="Arial" w:hAnsi="Arial" w:cs="Arial"/>
                <w:i/>
                <w:sz w:val="18"/>
                <w:szCs w:val="18"/>
              </w:rPr>
              <w:t>Pharmaceutical Inspection Convention and Pharmaceutical Inspection Co-operation Scheme (PIC/S)</w:t>
            </w:r>
            <w:r>
              <w:rPr>
                <w:rFonts w:ascii="Arial" w:hAnsi="Arial" w:cs="Arial"/>
                <w:i/>
                <w:sz w:val="18"/>
                <w:szCs w:val="18"/>
              </w:rPr>
              <w:t>,</w:t>
            </w:r>
            <w:r w:rsidRPr="00F83B6B">
              <w:rPr>
                <w:rFonts w:ascii="Arial" w:hAnsi="Arial" w:cs="Arial"/>
                <w:i/>
                <w:sz w:val="18"/>
                <w:szCs w:val="18"/>
              </w:rPr>
              <w:t xml:space="preserve"> Guide to Good Manufacturing Practice for Medicinal Products</w:t>
            </w:r>
            <w:r w:rsidRPr="00F83B6B">
              <w:rPr>
                <w:rFonts w:ascii="Arial" w:hAnsi="Arial" w:cs="Arial"/>
                <w:sz w:val="18"/>
                <w:szCs w:val="18"/>
              </w:rPr>
              <w:t>) and legislative requirements.</w:t>
            </w:r>
          </w:p>
          <w:p w:rsidR="00E10391" w:rsidRPr="00F83B6B" w:rsidRDefault="00E10391" w:rsidP="00E10391">
            <w:pPr>
              <w:numPr>
                <w:ilvl w:val="0"/>
                <w:numId w:val="24"/>
              </w:numPr>
              <w:spacing w:before="40" w:after="40"/>
              <w:ind w:left="284" w:hanging="284"/>
              <w:rPr>
                <w:rFonts w:ascii="Arial" w:hAnsi="Arial" w:cs="Arial"/>
                <w:sz w:val="18"/>
                <w:szCs w:val="18"/>
              </w:rPr>
            </w:pPr>
            <w:r>
              <w:rPr>
                <w:rFonts w:ascii="Arial" w:hAnsi="Arial" w:cs="Arial"/>
                <w:sz w:val="18"/>
                <w:szCs w:val="18"/>
              </w:rPr>
              <w:t>Ability to describe the quality management obligations associated with all aspects of complex compounding</w:t>
            </w:r>
            <w:r w:rsidR="000B019A">
              <w:rPr>
                <w:rFonts w:ascii="Arial" w:hAnsi="Arial" w:cs="Arial"/>
                <w:sz w:val="18"/>
                <w:szCs w:val="18"/>
              </w:rPr>
              <w:t xml:space="preserve"> (e.g</w:t>
            </w:r>
            <w:r>
              <w:rPr>
                <w:rFonts w:ascii="Arial" w:hAnsi="Arial" w:cs="Arial"/>
                <w:sz w:val="18"/>
                <w:szCs w:val="18"/>
              </w:rPr>
              <w:t>.</w:t>
            </w:r>
            <w:r w:rsidR="000B019A">
              <w:rPr>
                <w:rFonts w:ascii="Arial" w:hAnsi="Arial" w:cs="Arial"/>
                <w:sz w:val="18"/>
                <w:szCs w:val="18"/>
              </w:rPr>
              <w:t xml:space="preserve"> audit trail on raw materials and final products, quarantine and sterility testing requirements, operator training and validation procedures), </w:t>
            </w:r>
          </w:p>
        </w:tc>
      </w:tr>
      <w:tr w:rsidR="00E10391" w:rsidRPr="00F83B6B" w:rsidTr="00A66271">
        <w:trPr>
          <w:cantSplit/>
          <w:trHeight w:val="86"/>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2</w:t>
            </w:r>
            <w:r w:rsidRPr="00F83B6B">
              <w:rPr>
                <w:rFonts w:ascii="Arial" w:hAnsi="Arial" w:cs="Arial"/>
                <w:b/>
                <w:i/>
                <w:sz w:val="18"/>
                <w:szCs w:val="18"/>
              </w:rPr>
              <w:tab/>
            </w:r>
            <w:r w:rsidRPr="00F83B6B">
              <w:rPr>
                <w:rFonts w:ascii="Arial" w:hAnsi="Arial" w:cs="Arial"/>
                <w:sz w:val="18"/>
                <w:szCs w:val="18"/>
              </w:rPr>
              <w:t>Complies with workplace practices and professional conventions for product preparation.</w:t>
            </w:r>
          </w:p>
        </w:tc>
        <w:tc>
          <w:tcPr>
            <w:tcW w:w="6237" w:type="dxa"/>
            <w:shd w:val="clear" w:color="auto" w:fill="DBE5F1" w:themeFill="accent1" w:themeFillTint="33"/>
          </w:tcPr>
          <w:p w:rsidR="00E10391"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describe professional standards and conventions as well as workplace policies and procedures for the</w:t>
            </w:r>
            <w:r w:rsidR="005036B0">
              <w:rPr>
                <w:rFonts w:ascii="Arial" w:hAnsi="Arial" w:cs="Arial"/>
                <w:sz w:val="18"/>
                <w:szCs w:val="18"/>
              </w:rPr>
              <w:t xml:space="preserve"> </w:t>
            </w:r>
            <w:r w:rsidRPr="00F83B6B">
              <w:rPr>
                <w:rFonts w:ascii="Arial" w:hAnsi="Arial" w:cs="Arial"/>
                <w:sz w:val="18"/>
                <w:szCs w:val="18"/>
              </w:rPr>
              <w:t>preparation of pharmaceutical products</w:t>
            </w:r>
            <w:r>
              <w:rPr>
                <w:rFonts w:ascii="Arial" w:hAnsi="Arial" w:cs="Arial"/>
                <w:sz w:val="18"/>
                <w:szCs w:val="18"/>
              </w:rPr>
              <w:t>, including complex compounded products</w:t>
            </w:r>
            <w:r w:rsidRPr="00F83B6B">
              <w:rPr>
                <w:rFonts w:ascii="Arial" w:hAnsi="Arial" w:cs="Arial"/>
                <w:sz w:val="18"/>
                <w:szCs w:val="18"/>
              </w:rPr>
              <w:t>.</w:t>
            </w:r>
          </w:p>
          <w:p w:rsidR="00E10391" w:rsidRDefault="00E10391" w:rsidP="005036B0">
            <w:pPr>
              <w:numPr>
                <w:ilvl w:val="0"/>
                <w:numId w:val="24"/>
              </w:numPr>
              <w:spacing w:before="40" w:after="40"/>
              <w:ind w:left="284" w:hanging="284"/>
              <w:rPr>
                <w:rFonts w:ascii="Arial" w:hAnsi="Arial" w:cs="Arial"/>
                <w:sz w:val="18"/>
                <w:szCs w:val="18"/>
              </w:rPr>
            </w:pPr>
            <w:r>
              <w:rPr>
                <w:rFonts w:ascii="Arial" w:hAnsi="Arial" w:cs="Arial"/>
                <w:sz w:val="18"/>
                <w:szCs w:val="18"/>
              </w:rPr>
              <w:t>Ability to describe the types of clothing required (e.g. safety glasses, latex gloves, gowns and overshoes) for compounding various types of complex compounded products (e.g. products that contain irritants or which release fumes, are hazardous or contain cytotoxic drugs)</w:t>
            </w:r>
            <w:r w:rsidR="005036B0">
              <w:rPr>
                <w:rFonts w:ascii="Arial" w:hAnsi="Arial" w:cs="Arial"/>
                <w:sz w:val="18"/>
                <w:szCs w:val="18"/>
              </w:rPr>
              <w:t xml:space="preserve"> that will protect the product, environment, preparer and other personnel.</w:t>
            </w:r>
          </w:p>
          <w:p w:rsidR="00502C54" w:rsidRPr="00F83B6B" w:rsidRDefault="00502C54" w:rsidP="00502C54">
            <w:pPr>
              <w:numPr>
                <w:ilvl w:val="0"/>
                <w:numId w:val="24"/>
              </w:numPr>
              <w:spacing w:before="40" w:after="40"/>
              <w:ind w:left="284" w:hanging="284"/>
              <w:rPr>
                <w:rFonts w:ascii="Arial" w:hAnsi="Arial" w:cs="Arial"/>
                <w:sz w:val="18"/>
                <w:szCs w:val="18"/>
              </w:rPr>
            </w:pPr>
            <w:r>
              <w:rPr>
                <w:rFonts w:ascii="Arial" w:hAnsi="Arial" w:cs="Arial"/>
                <w:sz w:val="18"/>
                <w:szCs w:val="18"/>
              </w:rPr>
              <w:t xml:space="preserve">Ability to describe the key features of a quality assurance program for compounded products. </w:t>
            </w:r>
          </w:p>
        </w:tc>
      </w:tr>
      <w:tr w:rsidR="00E10391" w:rsidRPr="00F83B6B" w:rsidTr="00A66271">
        <w:trPr>
          <w:cantSplit/>
          <w:trHeight w:val="86"/>
        </w:trPr>
        <w:tc>
          <w:tcPr>
            <w:tcW w:w="3686" w:type="dxa"/>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3</w:t>
            </w:r>
            <w:r w:rsidRPr="00F83B6B">
              <w:rPr>
                <w:rFonts w:ascii="Arial" w:hAnsi="Arial" w:cs="Arial"/>
                <w:b/>
                <w:i/>
                <w:sz w:val="18"/>
                <w:szCs w:val="18"/>
              </w:rPr>
              <w:tab/>
            </w:r>
            <w:r w:rsidRPr="00F83B6B">
              <w:rPr>
                <w:rFonts w:ascii="Arial" w:hAnsi="Arial" w:cs="Arial"/>
                <w:sz w:val="18"/>
                <w:szCs w:val="18"/>
              </w:rPr>
              <w:t>Maintains currency of information on legislative, professional and workplace policy requirements applicable to the preparation of pharmaceutical products.</w:t>
            </w:r>
          </w:p>
        </w:tc>
        <w:tc>
          <w:tcPr>
            <w:tcW w:w="6237" w:type="dxa"/>
          </w:tcPr>
          <w:p w:rsidR="00E10391" w:rsidRPr="00F83B6B" w:rsidRDefault="00E10391" w:rsidP="00EE6413">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describe and/or demonstrate systems or processes established to capture new information on standards and conventions applicable to the preparation of pharmaceutical products (e.g. latest editions of </w:t>
            </w:r>
            <w:r w:rsidRPr="0013501E">
              <w:rPr>
                <w:rFonts w:ascii="Arial" w:hAnsi="Arial" w:cs="Arial"/>
                <w:i/>
                <w:sz w:val="18"/>
                <w:szCs w:val="18"/>
              </w:rPr>
              <w:t>A</w:t>
            </w:r>
            <w:r w:rsidR="0013501E" w:rsidRPr="0013501E">
              <w:rPr>
                <w:rFonts w:ascii="Arial" w:hAnsi="Arial" w:cs="Arial"/>
                <w:i/>
                <w:sz w:val="18"/>
                <w:szCs w:val="18"/>
              </w:rPr>
              <w:t>ustralian Pharmaceutical Formulary and Handbook</w:t>
            </w:r>
            <w:r w:rsidR="0013501E">
              <w:rPr>
                <w:rFonts w:ascii="Arial" w:hAnsi="Arial" w:cs="Arial"/>
                <w:sz w:val="18"/>
                <w:szCs w:val="18"/>
              </w:rPr>
              <w:t xml:space="preserve"> (A</w:t>
            </w:r>
            <w:r w:rsidRPr="00F83B6B">
              <w:rPr>
                <w:rFonts w:ascii="Arial" w:hAnsi="Arial" w:cs="Arial"/>
                <w:sz w:val="18"/>
                <w:szCs w:val="18"/>
              </w:rPr>
              <w:t>PF</w:t>
            </w:r>
            <w:r w:rsidR="0013501E">
              <w:rPr>
                <w:rFonts w:ascii="Arial" w:hAnsi="Arial" w:cs="Arial"/>
                <w:sz w:val="18"/>
                <w:szCs w:val="18"/>
              </w:rPr>
              <w:t>)</w:t>
            </w:r>
            <w:r w:rsidRPr="00F83B6B">
              <w:rPr>
                <w:rFonts w:ascii="Arial" w:hAnsi="Arial" w:cs="Arial"/>
                <w:sz w:val="18"/>
                <w:szCs w:val="18"/>
              </w:rPr>
              <w:t xml:space="preserve"> and </w:t>
            </w:r>
            <w:r w:rsidRPr="00F83B6B">
              <w:rPr>
                <w:rFonts w:ascii="Arial" w:hAnsi="Arial" w:cs="Arial"/>
                <w:i/>
                <w:sz w:val="18"/>
                <w:szCs w:val="18"/>
              </w:rPr>
              <w:t>Professional Practice Standards</w:t>
            </w:r>
            <w:r w:rsidRPr="00F83B6B">
              <w:rPr>
                <w:rFonts w:ascii="Arial" w:hAnsi="Arial" w:cs="Arial"/>
                <w:sz w:val="18"/>
                <w:szCs w:val="18"/>
              </w:rPr>
              <w:t>, circulars from the Therapeutic Goods Administration (TGA)</w:t>
            </w:r>
            <w:r w:rsidR="00EE6413">
              <w:rPr>
                <w:rFonts w:ascii="Arial" w:hAnsi="Arial" w:cs="Arial"/>
                <w:sz w:val="18"/>
                <w:szCs w:val="18"/>
              </w:rPr>
              <w:t>, Australian Pesticides and Veterinary Medicines Authority</w:t>
            </w:r>
            <w:r w:rsidRPr="00F83B6B">
              <w:rPr>
                <w:rFonts w:ascii="Arial" w:hAnsi="Arial" w:cs="Arial"/>
                <w:sz w:val="18"/>
                <w:szCs w:val="18"/>
              </w:rPr>
              <w:t xml:space="preserve"> and Health Department</w:t>
            </w:r>
            <w:r w:rsidR="00EE6413">
              <w:rPr>
                <w:rFonts w:ascii="Arial" w:hAnsi="Arial" w:cs="Arial"/>
                <w:sz w:val="18"/>
                <w:szCs w:val="18"/>
              </w:rPr>
              <w:t xml:space="preserve"> and</w:t>
            </w:r>
            <w:r w:rsidR="006A78C9">
              <w:rPr>
                <w:rFonts w:ascii="Arial" w:hAnsi="Arial" w:cs="Arial"/>
                <w:sz w:val="18"/>
                <w:szCs w:val="18"/>
              </w:rPr>
              <w:t xml:space="preserve"> changes in OH&amp;S legislation</w:t>
            </w:r>
            <w:r w:rsidRPr="00F83B6B">
              <w:rPr>
                <w:rFonts w:ascii="Arial" w:hAnsi="Arial" w:cs="Arial"/>
                <w:sz w:val="18"/>
                <w:szCs w:val="18"/>
              </w:rPr>
              <w:t>).</w:t>
            </w:r>
          </w:p>
        </w:tc>
      </w:tr>
      <w:tr w:rsidR="00E10391" w:rsidRPr="00F83B6B" w:rsidTr="00A66271">
        <w:trPr>
          <w:cantSplit/>
          <w:trHeight w:val="86"/>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4</w:t>
            </w:r>
            <w:r w:rsidRPr="00F83B6B">
              <w:rPr>
                <w:rFonts w:ascii="Arial" w:hAnsi="Arial" w:cs="Arial"/>
                <w:b/>
                <w:i/>
                <w:sz w:val="18"/>
                <w:szCs w:val="18"/>
              </w:rPr>
              <w:tab/>
            </w:r>
            <w:r w:rsidRPr="00F83B6B">
              <w:rPr>
                <w:rFonts w:ascii="Arial" w:hAnsi="Arial" w:cs="Arial"/>
                <w:sz w:val="18"/>
                <w:szCs w:val="18"/>
              </w:rPr>
              <w:t>Ensures processes to protect consumer safety are applied.</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describe checking processes required to assure consumer safety (e.g. double check of calculations, weigh</w:t>
            </w:r>
            <w:r>
              <w:rPr>
                <w:rFonts w:ascii="Arial" w:hAnsi="Arial" w:cs="Arial"/>
                <w:sz w:val="18"/>
                <w:szCs w:val="18"/>
              </w:rPr>
              <w:t>t</w:t>
            </w:r>
            <w:r w:rsidRPr="00F83B6B">
              <w:rPr>
                <w:rFonts w:ascii="Arial" w:hAnsi="Arial" w:cs="Arial"/>
                <w:sz w:val="18"/>
                <w:szCs w:val="18"/>
              </w:rPr>
              <w:t>s and measurements, quarantine of products prior to final check and release, label reconciliation, and check and release of final products).</w:t>
            </w:r>
          </w:p>
          <w:p w:rsidR="00E10391"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describe how the application of safety procedures is documented for </w:t>
            </w:r>
            <w:r>
              <w:rPr>
                <w:rFonts w:ascii="Arial" w:hAnsi="Arial" w:cs="Arial"/>
                <w:sz w:val="18"/>
                <w:szCs w:val="18"/>
              </w:rPr>
              <w:t xml:space="preserve">all </w:t>
            </w:r>
            <w:r w:rsidRPr="00F83B6B">
              <w:rPr>
                <w:rFonts w:ascii="Arial" w:hAnsi="Arial" w:cs="Arial"/>
                <w:sz w:val="18"/>
                <w:szCs w:val="18"/>
              </w:rPr>
              <w:t>prepared products.</w:t>
            </w:r>
          </w:p>
          <w:p w:rsidR="00E10391" w:rsidRPr="00F83B6B" w:rsidRDefault="00E10391" w:rsidP="00E10391">
            <w:pPr>
              <w:numPr>
                <w:ilvl w:val="0"/>
                <w:numId w:val="24"/>
              </w:numPr>
              <w:spacing w:before="40" w:after="40"/>
              <w:ind w:left="284" w:hanging="284"/>
              <w:rPr>
                <w:rFonts w:ascii="Arial" w:hAnsi="Arial" w:cs="Arial"/>
                <w:sz w:val="18"/>
                <w:szCs w:val="18"/>
              </w:rPr>
            </w:pPr>
            <w:r>
              <w:rPr>
                <w:rFonts w:ascii="Arial" w:hAnsi="Arial" w:cs="Arial"/>
                <w:sz w:val="18"/>
                <w:szCs w:val="18"/>
              </w:rPr>
              <w:t>Ability to describe procedures and processes required to specifically protect the consumer from hazards in the workplace (e.g. fumes, particulates or aerosols) or those associated with use of the product.</w:t>
            </w:r>
          </w:p>
        </w:tc>
      </w:tr>
      <w:tr w:rsidR="00E10391" w:rsidRPr="00F83B6B" w:rsidTr="00A66271">
        <w:trPr>
          <w:cantSplit/>
        </w:trPr>
        <w:tc>
          <w:tcPr>
            <w:tcW w:w="9923" w:type="dxa"/>
            <w:gridSpan w:val="2"/>
            <w:tcBorders>
              <w:bottom w:val="single" w:sz="4" w:space="0" w:color="auto"/>
            </w:tcBorders>
            <w:shd w:val="clear" w:color="auto" w:fill="FABF8F" w:themeFill="accent6" w:themeFillTint="99"/>
          </w:tcPr>
          <w:p w:rsidR="00E10391" w:rsidRPr="00F83B6B" w:rsidRDefault="00E10391" w:rsidP="00A66271">
            <w:pPr>
              <w:keepNext/>
              <w:spacing w:before="40" w:after="40"/>
              <w:ind w:left="284" w:hanging="284"/>
              <w:rPr>
                <w:rFonts w:ascii="Arial" w:hAnsi="Arial" w:cs="Arial"/>
                <w:b/>
                <w:sz w:val="18"/>
                <w:szCs w:val="18"/>
              </w:rPr>
            </w:pPr>
            <w:r w:rsidRPr="00F83B6B">
              <w:rPr>
                <w:rFonts w:ascii="Arial" w:hAnsi="Arial" w:cs="Arial"/>
                <w:b/>
                <w:sz w:val="18"/>
                <w:szCs w:val="18"/>
              </w:rPr>
              <w:t xml:space="preserve">Element 2 – Confirm the need for the product </w:t>
            </w:r>
          </w:p>
        </w:tc>
      </w:tr>
      <w:tr w:rsidR="00E10391" w:rsidRPr="00F83B6B" w:rsidTr="00A66271">
        <w:trPr>
          <w:cantSplit/>
          <w:trHeight w:val="115"/>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1</w:t>
            </w:r>
            <w:r w:rsidRPr="00F83B6B">
              <w:rPr>
                <w:rFonts w:ascii="Arial" w:hAnsi="Arial" w:cs="Arial"/>
                <w:sz w:val="18"/>
                <w:szCs w:val="18"/>
              </w:rPr>
              <w:tab/>
              <w:t>Understands the therapeutic context in which the product has been requested.</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promptly access standard treatment protocols or individual consumer treatment plans.</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clarify the context of treatment from the consumer’s medication record or other sources such as consumer notes.</w:t>
            </w:r>
          </w:p>
        </w:tc>
      </w:tr>
      <w:tr w:rsidR="00E10391" w:rsidRPr="00F83B6B" w:rsidTr="00A66271">
        <w:trPr>
          <w:cantSplit/>
          <w:trHeight w:val="115"/>
        </w:trPr>
        <w:tc>
          <w:tcPr>
            <w:tcW w:w="3686" w:type="dxa"/>
            <w:tcBorders>
              <w:bottom w:val="single" w:sz="4" w:space="0" w:color="auto"/>
            </w:tcBorders>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2</w:t>
            </w:r>
            <w:r w:rsidRPr="00F83B6B">
              <w:rPr>
                <w:rFonts w:ascii="Arial" w:hAnsi="Arial" w:cs="Arial"/>
                <w:sz w:val="18"/>
                <w:szCs w:val="18"/>
              </w:rPr>
              <w:tab/>
              <w:t>Obtains additional clinical or medication related information as needed.</w:t>
            </w:r>
          </w:p>
        </w:tc>
        <w:tc>
          <w:tcPr>
            <w:tcW w:w="6237" w:type="dxa"/>
            <w:tcBorders>
              <w:bottom w:val="single" w:sz="4" w:space="0" w:color="auto"/>
            </w:tcBorders>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identify and justify additional information needed to confirm the safety and/or appropriateness of providing the requested product.</w:t>
            </w:r>
          </w:p>
          <w:p w:rsidR="00E10391" w:rsidRDefault="00E10391" w:rsidP="00E10391">
            <w:pPr>
              <w:numPr>
                <w:ilvl w:val="0"/>
                <w:numId w:val="24"/>
              </w:numPr>
              <w:spacing w:before="40" w:after="40"/>
              <w:ind w:left="284" w:hanging="284"/>
              <w:rPr>
                <w:rFonts w:ascii="Arial" w:hAnsi="Arial" w:cs="Arial"/>
                <w:sz w:val="18"/>
                <w:szCs w:val="18"/>
              </w:rPr>
            </w:pPr>
            <w:r>
              <w:rPr>
                <w:rFonts w:ascii="Arial" w:hAnsi="Arial" w:cs="Arial"/>
                <w:sz w:val="18"/>
                <w:szCs w:val="18"/>
              </w:rPr>
              <w:t xml:space="preserve">Ability to access and interpret test results relevant to the product requested (e.g. white cell count for chemotherapy, biochemistry for </w:t>
            </w:r>
            <w:r w:rsidR="0013501E">
              <w:rPr>
                <w:rFonts w:ascii="Arial" w:hAnsi="Arial" w:cs="Arial"/>
                <w:sz w:val="18"/>
                <w:szCs w:val="18"/>
              </w:rPr>
              <w:t>total parenteral nutrition (</w:t>
            </w:r>
            <w:r>
              <w:rPr>
                <w:rFonts w:ascii="Arial" w:hAnsi="Arial" w:cs="Arial"/>
                <w:sz w:val="18"/>
                <w:szCs w:val="18"/>
              </w:rPr>
              <w:t>TPN</w:t>
            </w:r>
            <w:r w:rsidR="0013501E">
              <w:rPr>
                <w:rFonts w:ascii="Arial" w:hAnsi="Arial" w:cs="Arial"/>
                <w:sz w:val="18"/>
                <w:szCs w:val="18"/>
              </w:rPr>
              <w:t>)</w:t>
            </w:r>
            <w:r>
              <w:rPr>
                <w:rFonts w:ascii="Arial" w:hAnsi="Arial" w:cs="Arial"/>
                <w:sz w:val="18"/>
                <w:szCs w:val="18"/>
              </w:rPr>
              <w:t>).</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maintain professional rapport with consumer/carer and/or prescriber when seeking additional clinical or medication related information.</w:t>
            </w:r>
          </w:p>
        </w:tc>
      </w:tr>
      <w:tr w:rsidR="00E10391" w:rsidRPr="00F83B6B" w:rsidTr="00A66271">
        <w:trPr>
          <w:cantSplit/>
          <w:trHeight w:val="115"/>
        </w:trPr>
        <w:tc>
          <w:tcPr>
            <w:tcW w:w="3686" w:type="dxa"/>
            <w:tcBorders>
              <w:bottom w:val="single" w:sz="4" w:space="0" w:color="auto"/>
            </w:tcBorders>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3</w:t>
            </w:r>
            <w:r w:rsidRPr="00F83B6B">
              <w:rPr>
                <w:rFonts w:ascii="Arial" w:hAnsi="Arial" w:cs="Arial"/>
                <w:sz w:val="18"/>
                <w:szCs w:val="18"/>
              </w:rPr>
              <w:tab/>
              <w:t>Uses evidence-based decision-making in determining what changes, if any, are warranted in the requested product.</w:t>
            </w:r>
          </w:p>
        </w:tc>
        <w:tc>
          <w:tcPr>
            <w:tcW w:w="6237" w:type="dxa"/>
            <w:tcBorders>
              <w:bottom w:val="single" w:sz="4" w:space="0" w:color="auto"/>
            </w:tcBorders>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describe and/or promptly access evidence-based information on treatment protocols and preferred treatment options or formulations.</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apply clinical information to determine if requested product will meet consumer needs.</w:t>
            </w:r>
          </w:p>
        </w:tc>
      </w:tr>
      <w:tr w:rsidR="00E10391" w:rsidRPr="00F83B6B" w:rsidTr="00A66271">
        <w:trPr>
          <w:cantSplit/>
          <w:trHeight w:val="115"/>
        </w:trPr>
        <w:tc>
          <w:tcPr>
            <w:tcW w:w="3686" w:type="dxa"/>
            <w:tcBorders>
              <w:bottom w:val="single" w:sz="4" w:space="0" w:color="auto"/>
            </w:tcBorders>
            <w:shd w:val="clear" w:color="auto" w:fill="auto"/>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lastRenderedPageBreak/>
              <w:t>4</w:t>
            </w:r>
            <w:r w:rsidRPr="00F83B6B">
              <w:rPr>
                <w:rFonts w:ascii="Arial" w:hAnsi="Arial" w:cs="Arial"/>
                <w:sz w:val="18"/>
                <w:szCs w:val="18"/>
              </w:rPr>
              <w:tab/>
              <w:t>Provides advice on the selection of a suitable product.</w:t>
            </w:r>
          </w:p>
        </w:tc>
        <w:tc>
          <w:tcPr>
            <w:tcW w:w="6237" w:type="dxa"/>
            <w:tcBorders>
              <w:bottom w:val="single" w:sz="4" w:space="0" w:color="auto"/>
            </w:tcBorders>
            <w:shd w:val="clear" w:color="auto" w:fill="auto"/>
          </w:tcPr>
          <w:p w:rsidR="00E10391"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describe the nature of a range of pharmaceutical formulations and provide advice on </w:t>
            </w:r>
            <w:r>
              <w:rPr>
                <w:rFonts w:ascii="Arial" w:hAnsi="Arial" w:cs="Arial"/>
                <w:sz w:val="18"/>
                <w:szCs w:val="18"/>
              </w:rPr>
              <w:t xml:space="preserve">their </w:t>
            </w:r>
            <w:r w:rsidRPr="00F83B6B">
              <w:rPr>
                <w:rFonts w:ascii="Arial" w:hAnsi="Arial" w:cs="Arial"/>
                <w:sz w:val="18"/>
                <w:szCs w:val="18"/>
              </w:rPr>
              <w:t>appropriate selection and use.</w:t>
            </w:r>
          </w:p>
          <w:p w:rsidR="00E10391" w:rsidRPr="00F83B6B" w:rsidRDefault="00E10391" w:rsidP="00E10391">
            <w:pPr>
              <w:numPr>
                <w:ilvl w:val="0"/>
                <w:numId w:val="24"/>
              </w:numPr>
              <w:spacing w:before="40" w:after="40"/>
              <w:ind w:left="284" w:hanging="284"/>
              <w:rPr>
                <w:rFonts w:ascii="Arial" w:hAnsi="Arial" w:cs="Arial"/>
                <w:sz w:val="18"/>
                <w:szCs w:val="18"/>
              </w:rPr>
            </w:pPr>
            <w:r>
              <w:rPr>
                <w:rFonts w:ascii="Arial" w:hAnsi="Arial" w:cs="Arial"/>
                <w:sz w:val="18"/>
                <w:szCs w:val="18"/>
              </w:rPr>
              <w:t>Ability to advise on issues such as infusion diluents,</w:t>
            </w:r>
            <w:r w:rsidR="00B8197F">
              <w:rPr>
                <w:rFonts w:ascii="Arial" w:hAnsi="Arial" w:cs="Arial"/>
                <w:sz w:val="18"/>
                <w:szCs w:val="18"/>
              </w:rPr>
              <w:t xml:space="preserve"> </w:t>
            </w:r>
            <w:r>
              <w:rPr>
                <w:rFonts w:ascii="Arial" w:hAnsi="Arial" w:cs="Arial"/>
                <w:sz w:val="18"/>
                <w:szCs w:val="18"/>
              </w:rPr>
              <w:t>strength,</w:t>
            </w:r>
            <w:r w:rsidR="00B8197F">
              <w:rPr>
                <w:rFonts w:ascii="Arial" w:hAnsi="Arial" w:cs="Arial"/>
                <w:sz w:val="18"/>
                <w:szCs w:val="18"/>
              </w:rPr>
              <w:t xml:space="preserve"> </w:t>
            </w:r>
            <w:r>
              <w:rPr>
                <w:rFonts w:ascii="Arial" w:hAnsi="Arial" w:cs="Arial"/>
                <w:sz w:val="18"/>
                <w:szCs w:val="18"/>
              </w:rPr>
              <w:t>volume and rate, and TPN composition and caloric value for specific consumers taking account of their clinical status (e.g. hydration, catabolic state, renal function).</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describe and justify the choice of an alternative product</w:t>
            </w:r>
            <w:r>
              <w:rPr>
                <w:rFonts w:ascii="Arial" w:hAnsi="Arial" w:cs="Arial"/>
                <w:sz w:val="18"/>
                <w:szCs w:val="18"/>
              </w:rPr>
              <w:t>, including where an individualised complex compounded product is indicated and recommended</w:t>
            </w:r>
            <w:r w:rsidRPr="00F83B6B">
              <w:rPr>
                <w:rFonts w:ascii="Arial" w:hAnsi="Arial" w:cs="Arial"/>
                <w:sz w:val="18"/>
                <w:szCs w:val="18"/>
              </w:rPr>
              <w:t>.</w:t>
            </w:r>
          </w:p>
        </w:tc>
      </w:tr>
    </w:tbl>
    <w:p w:rsidR="00E10391" w:rsidRDefault="00E10391" w:rsidP="00E10391">
      <w:r>
        <w:br w:type="page"/>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237"/>
      </w:tblGrid>
      <w:tr w:rsidR="00E10391" w:rsidRPr="00F83B6B" w:rsidTr="00A66271">
        <w:trPr>
          <w:cantSplit/>
        </w:trPr>
        <w:tc>
          <w:tcPr>
            <w:tcW w:w="9923" w:type="dxa"/>
            <w:gridSpan w:val="2"/>
            <w:tcBorders>
              <w:bottom w:val="single" w:sz="4" w:space="0" w:color="auto"/>
            </w:tcBorders>
            <w:shd w:val="clear" w:color="auto" w:fill="FABF8F" w:themeFill="accent6" w:themeFillTint="99"/>
          </w:tcPr>
          <w:p w:rsidR="00E10391" w:rsidRPr="00F83B6B" w:rsidRDefault="00E10391" w:rsidP="00A66271">
            <w:pPr>
              <w:spacing w:before="40" w:after="40"/>
              <w:ind w:left="284" w:hanging="284"/>
              <w:rPr>
                <w:rFonts w:ascii="Arial" w:hAnsi="Arial" w:cs="Arial"/>
                <w:b/>
                <w:sz w:val="18"/>
                <w:szCs w:val="18"/>
              </w:rPr>
            </w:pPr>
            <w:r w:rsidRPr="00F83B6B">
              <w:rPr>
                <w:rFonts w:ascii="Arial" w:hAnsi="Arial" w:cs="Arial"/>
                <w:b/>
                <w:sz w:val="18"/>
                <w:szCs w:val="18"/>
              </w:rPr>
              <w:lastRenderedPageBreak/>
              <w:t>Element 3 – Confirm the required formulation</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1</w:t>
            </w:r>
            <w:r w:rsidRPr="00F83B6B">
              <w:rPr>
                <w:rFonts w:ascii="Arial" w:hAnsi="Arial" w:cs="Arial"/>
                <w:sz w:val="18"/>
                <w:szCs w:val="18"/>
              </w:rPr>
              <w:tab/>
              <w:t>Selects a standard formulation to correspond to a specified product where one exists.</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use standard reference sources (e.g. master manufacturing sheets</w:t>
            </w:r>
            <w:r>
              <w:rPr>
                <w:rFonts w:ascii="Arial" w:hAnsi="Arial" w:cs="Arial"/>
                <w:sz w:val="18"/>
                <w:szCs w:val="18"/>
              </w:rPr>
              <w:t xml:space="preserve"> or databases</w:t>
            </w:r>
            <w:r w:rsidRPr="00F83B6B">
              <w:rPr>
                <w:rFonts w:ascii="Arial" w:hAnsi="Arial" w:cs="Arial"/>
                <w:sz w:val="18"/>
                <w:szCs w:val="18"/>
              </w:rPr>
              <w:t>) to access required formulations</w:t>
            </w:r>
            <w:r>
              <w:rPr>
                <w:rFonts w:ascii="Arial" w:hAnsi="Arial" w:cs="Arial"/>
                <w:sz w:val="18"/>
                <w:szCs w:val="18"/>
              </w:rPr>
              <w:t xml:space="preserve"> for complex compounded products</w:t>
            </w:r>
            <w:r w:rsidRPr="00F83B6B">
              <w:rPr>
                <w:rFonts w:ascii="Arial" w:hAnsi="Arial" w:cs="Arial"/>
                <w:sz w:val="18"/>
                <w:szCs w:val="18"/>
              </w:rPr>
              <w:t>.</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select the correct standard formulation for a specific product.</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2</w:t>
            </w:r>
            <w:r w:rsidRPr="00F83B6B">
              <w:rPr>
                <w:rFonts w:ascii="Arial" w:hAnsi="Arial" w:cs="Arial"/>
                <w:sz w:val="18"/>
                <w:szCs w:val="18"/>
              </w:rPr>
              <w:tab/>
              <w:t>Identifies circumstances that might warrant adjustments being made to a formulation.</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recognise the potential in a formulation for physicochemical incompatibilities (e.g. acid-base reactions, precipitation, flocculation, oxidation, hydrolysis and colour change).</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identify situations where a formulation requires adjustment to ensure adequate stability, compatibility and suitability for its intended use (e.g. use of pH buffers, alteration of vehicle, addition of suspending agent, preservative or antioxidant).</w:t>
            </w:r>
          </w:p>
        </w:tc>
      </w:tr>
      <w:tr w:rsidR="00E10391" w:rsidRPr="00F83B6B" w:rsidTr="00A66271">
        <w:trPr>
          <w:cantSplit/>
        </w:trPr>
        <w:tc>
          <w:tcPr>
            <w:tcW w:w="3686" w:type="dxa"/>
            <w:tcBorders>
              <w:bottom w:val="single" w:sz="4" w:space="0" w:color="auto"/>
            </w:tcBorders>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3</w:t>
            </w:r>
            <w:r w:rsidRPr="00F83B6B">
              <w:rPr>
                <w:rFonts w:ascii="Arial" w:hAnsi="Arial" w:cs="Arial"/>
                <w:sz w:val="18"/>
                <w:szCs w:val="18"/>
              </w:rPr>
              <w:tab/>
              <w:t>Uses reference sources to modify the formulation in a manner consistent with consumer needs, and professional guidelines and conventions.</w:t>
            </w:r>
          </w:p>
        </w:tc>
        <w:tc>
          <w:tcPr>
            <w:tcW w:w="6237" w:type="dxa"/>
            <w:tcBorders>
              <w:bottom w:val="single" w:sz="4" w:space="0" w:color="auto"/>
            </w:tcBorders>
            <w:shd w:val="clear" w:color="auto" w:fill="DBE5F1" w:themeFill="accent1" w:themeFillTint="33"/>
          </w:tcPr>
          <w:p w:rsidR="00E10391"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use a range of reference sources </w:t>
            </w:r>
            <w:r>
              <w:rPr>
                <w:rFonts w:ascii="Arial" w:hAnsi="Arial" w:cs="Arial"/>
                <w:sz w:val="18"/>
                <w:szCs w:val="18"/>
              </w:rPr>
              <w:t>(e.g. APF, IV additive compatibility and caloric intake guides) relevant to compounding</w:t>
            </w:r>
            <w:r w:rsidRPr="00F83B6B">
              <w:rPr>
                <w:rFonts w:ascii="Arial" w:hAnsi="Arial" w:cs="Arial"/>
                <w:sz w:val="18"/>
                <w:szCs w:val="18"/>
              </w:rPr>
              <w:t xml:space="preserve"> to correctly identify the nature and/or magnitude of the required adjustment</w:t>
            </w:r>
            <w:r>
              <w:rPr>
                <w:rFonts w:ascii="Arial" w:hAnsi="Arial" w:cs="Arial"/>
                <w:sz w:val="18"/>
                <w:szCs w:val="18"/>
              </w:rPr>
              <w:t xml:space="preserve"> to a complex compounded product</w:t>
            </w:r>
            <w:r w:rsidRPr="00F83B6B">
              <w:rPr>
                <w:rFonts w:ascii="Arial" w:hAnsi="Arial" w:cs="Arial"/>
                <w:sz w:val="18"/>
                <w:szCs w:val="18"/>
              </w:rPr>
              <w:t>.</w:t>
            </w:r>
          </w:p>
          <w:p w:rsidR="00E10391"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promptly access additional guidance on professional conventions relating to modification of formulations</w:t>
            </w:r>
            <w:r>
              <w:rPr>
                <w:rFonts w:ascii="Arial" w:hAnsi="Arial" w:cs="Arial"/>
                <w:sz w:val="18"/>
                <w:szCs w:val="18"/>
              </w:rPr>
              <w:t xml:space="preserve"> to identify the specific means by which the required modification may be achieved</w:t>
            </w:r>
            <w:r w:rsidRPr="00F83B6B">
              <w:rPr>
                <w:rFonts w:ascii="Arial" w:hAnsi="Arial" w:cs="Arial"/>
                <w:sz w:val="18"/>
                <w:szCs w:val="18"/>
              </w:rPr>
              <w:t>.</w:t>
            </w:r>
          </w:p>
          <w:p w:rsidR="00E10391" w:rsidRPr="00F83B6B" w:rsidRDefault="00E10391" w:rsidP="00E10391">
            <w:pPr>
              <w:numPr>
                <w:ilvl w:val="0"/>
                <w:numId w:val="24"/>
              </w:numPr>
              <w:spacing w:before="40" w:after="40"/>
              <w:ind w:left="284" w:hanging="284"/>
              <w:rPr>
                <w:rFonts w:ascii="Arial" w:hAnsi="Arial" w:cs="Arial"/>
                <w:sz w:val="18"/>
                <w:szCs w:val="18"/>
              </w:rPr>
            </w:pPr>
            <w:r>
              <w:rPr>
                <w:rFonts w:ascii="Arial" w:hAnsi="Arial" w:cs="Arial"/>
                <w:sz w:val="18"/>
                <w:szCs w:val="18"/>
              </w:rPr>
              <w:t>Ability to appropriately adjust TPN formulation, infusion diluents, strength,</w:t>
            </w:r>
            <w:r w:rsidR="0013501E">
              <w:rPr>
                <w:rFonts w:ascii="Arial" w:hAnsi="Arial" w:cs="Arial"/>
                <w:sz w:val="18"/>
                <w:szCs w:val="18"/>
              </w:rPr>
              <w:t xml:space="preserve"> </w:t>
            </w:r>
            <w:r>
              <w:rPr>
                <w:rFonts w:ascii="Arial" w:hAnsi="Arial" w:cs="Arial"/>
                <w:sz w:val="18"/>
                <w:szCs w:val="18"/>
              </w:rPr>
              <w:t>volume and rate based on changes in consumer’s clinical status (e.g. hydration, catabolic state and renal function).</w:t>
            </w:r>
          </w:p>
        </w:tc>
      </w:tr>
      <w:tr w:rsidR="00E10391" w:rsidRPr="00F83B6B" w:rsidTr="00A66271">
        <w:trPr>
          <w:cantSplit/>
        </w:trPr>
        <w:tc>
          <w:tcPr>
            <w:tcW w:w="3686" w:type="dxa"/>
            <w:tcBorders>
              <w:bottom w:val="single" w:sz="4" w:space="0" w:color="auto"/>
            </w:tcBorders>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4</w:t>
            </w:r>
            <w:r w:rsidRPr="00F83B6B">
              <w:rPr>
                <w:rFonts w:ascii="Arial" w:hAnsi="Arial" w:cs="Arial"/>
                <w:sz w:val="18"/>
                <w:szCs w:val="18"/>
              </w:rPr>
              <w:tab/>
              <w:t>Discusses and confirms required modifications with prescriber and/or consumer as required.</w:t>
            </w:r>
          </w:p>
        </w:tc>
        <w:tc>
          <w:tcPr>
            <w:tcW w:w="6237" w:type="dxa"/>
            <w:tcBorders>
              <w:bottom w:val="single" w:sz="4" w:space="0" w:color="auto"/>
            </w:tcBorders>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describe situations where legislation or professional conventions require the prescriber (e.g. change in concentration of active ingredient(s)</w:t>
            </w:r>
            <w:r>
              <w:rPr>
                <w:rFonts w:ascii="Arial" w:hAnsi="Arial" w:cs="Arial"/>
                <w:sz w:val="18"/>
                <w:szCs w:val="18"/>
              </w:rPr>
              <w:t xml:space="preserve"> or dosage</w:t>
            </w:r>
            <w:r w:rsidRPr="00F83B6B">
              <w:rPr>
                <w:rFonts w:ascii="Arial" w:hAnsi="Arial" w:cs="Arial"/>
                <w:sz w:val="18"/>
                <w:szCs w:val="18"/>
              </w:rPr>
              <w:t>) and/or the consumer (e.g. change in colour</w:t>
            </w:r>
            <w:r>
              <w:rPr>
                <w:rFonts w:ascii="Arial" w:hAnsi="Arial" w:cs="Arial"/>
                <w:sz w:val="18"/>
                <w:szCs w:val="18"/>
              </w:rPr>
              <w:t xml:space="preserve"> or</w:t>
            </w:r>
            <w:r w:rsidRPr="00F83B6B">
              <w:rPr>
                <w:rFonts w:ascii="Arial" w:hAnsi="Arial" w:cs="Arial"/>
                <w:sz w:val="18"/>
                <w:szCs w:val="18"/>
              </w:rPr>
              <w:t xml:space="preserve"> flavour) to be notified of a change.</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explain and confirm required modifications with the prescriber or consumer.</w:t>
            </w:r>
          </w:p>
        </w:tc>
      </w:tr>
      <w:tr w:rsidR="00E10391" w:rsidRPr="00F83B6B" w:rsidTr="00A66271">
        <w:trPr>
          <w:cantSplit/>
        </w:trPr>
        <w:tc>
          <w:tcPr>
            <w:tcW w:w="3686" w:type="dxa"/>
            <w:shd w:val="clear" w:color="auto" w:fill="auto"/>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5</w:t>
            </w:r>
            <w:r w:rsidRPr="00F83B6B">
              <w:rPr>
                <w:rFonts w:ascii="Arial" w:hAnsi="Arial" w:cs="Arial"/>
                <w:sz w:val="18"/>
                <w:szCs w:val="18"/>
              </w:rPr>
              <w:tab/>
              <w:t>Uses databases and other evidence-based reference sources to research formulations where no standard formulation exists.</w:t>
            </w:r>
          </w:p>
        </w:tc>
        <w:tc>
          <w:tcPr>
            <w:tcW w:w="6237" w:type="dxa"/>
            <w:shd w:val="clear" w:color="auto" w:fill="auto"/>
          </w:tcPr>
          <w:p w:rsidR="00E10391" w:rsidRPr="00722024" w:rsidRDefault="00E10391" w:rsidP="00E10391">
            <w:pPr>
              <w:numPr>
                <w:ilvl w:val="0"/>
                <w:numId w:val="24"/>
              </w:numPr>
              <w:spacing w:before="40" w:after="40"/>
              <w:ind w:left="284" w:hanging="284"/>
              <w:rPr>
                <w:rFonts w:ascii="Arial" w:hAnsi="Arial" w:cs="Arial"/>
                <w:sz w:val="18"/>
                <w:szCs w:val="18"/>
              </w:rPr>
            </w:pPr>
            <w:r w:rsidRPr="00722024">
              <w:rPr>
                <w:rFonts w:ascii="Arial" w:hAnsi="Arial" w:cs="Arial"/>
                <w:sz w:val="18"/>
                <w:szCs w:val="18"/>
              </w:rPr>
              <w:t xml:space="preserve">Ability to use evidence-based information sources relevant to complex compounding </w:t>
            </w:r>
            <w:r>
              <w:rPr>
                <w:rFonts w:ascii="Arial" w:hAnsi="Arial" w:cs="Arial"/>
                <w:sz w:val="18"/>
                <w:szCs w:val="18"/>
              </w:rPr>
              <w:t xml:space="preserve">to identify suitable formulation options for addressing therapeutic needs </w:t>
            </w:r>
            <w:r w:rsidRPr="00722024">
              <w:rPr>
                <w:rFonts w:ascii="Arial" w:hAnsi="Arial" w:cs="Arial"/>
                <w:sz w:val="18"/>
                <w:szCs w:val="18"/>
              </w:rPr>
              <w:t>where no standard formulation exists.</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identify expertise (e.g. pharmacists within hospitals or pharmaceutical companies) and information sources (e.g. medical or pharmaceutical journals) from which non-standard formulations/advice may be obtained.</w:t>
            </w:r>
          </w:p>
        </w:tc>
      </w:tr>
      <w:tr w:rsidR="00E10391" w:rsidRPr="00F83B6B" w:rsidTr="00A66271">
        <w:trPr>
          <w:cantSplit/>
        </w:trPr>
        <w:tc>
          <w:tcPr>
            <w:tcW w:w="3686" w:type="dxa"/>
            <w:shd w:val="clear" w:color="auto" w:fill="auto"/>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6</w:t>
            </w:r>
            <w:r w:rsidRPr="00F83B6B">
              <w:rPr>
                <w:rFonts w:ascii="Arial" w:hAnsi="Arial" w:cs="Arial"/>
                <w:sz w:val="18"/>
                <w:szCs w:val="18"/>
              </w:rPr>
              <w:tab/>
              <w:t>Develops an appropriate formulation where no standard formulation exists.</w:t>
            </w:r>
          </w:p>
        </w:tc>
        <w:tc>
          <w:tcPr>
            <w:tcW w:w="6237" w:type="dxa"/>
            <w:shd w:val="clear" w:color="auto" w:fill="auto"/>
          </w:tcPr>
          <w:p w:rsidR="00E10391"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develop a formulation to meet the needs of individual consumers </w:t>
            </w:r>
            <w:r>
              <w:rPr>
                <w:rFonts w:ascii="Arial" w:hAnsi="Arial" w:cs="Arial"/>
                <w:sz w:val="18"/>
                <w:szCs w:val="18"/>
              </w:rPr>
              <w:t>(e.g.</w:t>
            </w:r>
            <w:r w:rsidR="0013501E">
              <w:rPr>
                <w:rFonts w:ascii="Arial" w:hAnsi="Arial" w:cs="Arial"/>
                <w:sz w:val="18"/>
                <w:szCs w:val="18"/>
              </w:rPr>
              <w:t xml:space="preserve"> </w:t>
            </w:r>
            <w:r>
              <w:rPr>
                <w:rFonts w:ascii="Arial" w:hAnsi="Arial" w:cs="Arial"/>
                <w:sz w:val="18"/>
                <w:szCs w:val="18"/>
              </w:rPr>
              <w:t>paediatric powders) or prescribers</w:t>
            </w:r>
            <w:r w:rsidRPr="00F83B6B">
              <w:rPr>
                <w:rFonts w:ascii="Arial" w:hAnsi="Arial" w:cs="Arial"/>
                <w:sz w:val="18"/>
                <w:szCs w:val="18"/>
              </w:rPr>
              <w:t xml:space="preserve"> by reference to </w:t>
            </w:r>
            <w:r>
              <w:rPr>
                <w:rFonts w:ascii="Arial" w:hAnsi="Arial" w:cs="Arial"/>
                <w:sz w:val="18"/>
                <w:szCs w:val="18"/>
              </w:rPr>
              <w:t xml:space="preserve">peer reviewed or other substantive </w:t>
            </w:r>
            <w:r w:rsidRPr="00F83B6B">
              <w:rPr>
                <w:rFonts w:ascii="Arial" w:hAnsi="Arial" w:cs="Arial"/>
                <w:sz w:val="18"/>
                <w:szCs w:val="18"/>
              </w:rPr>
              <w:t xml:space="preserve">information sources or by consultation </w:t>
            </w:r>
            <w:r>
              <w:rPr>
                <w:rFonts w:ascii="Arial" w:hAnsi="Arial" w:cs="Arial"/>
                <w:sz w:val="18"/>
                <w:szCs w:val="18"/>
              </w:rPr>
              <w:t>with other expert sources</w:t>
            </w:r>
            <w:r w:rsidRPr="00F83B6B">
              <w:rPr>
                <w:rFonts w:ascii="Arial" w:hAnsi="Arial" w:cs="Arial"/>
                <w:sz w:val="18"/>
                <w:szCs w:val="18"/>
              </w:rPr>
              <w:t>.</w:t>
            </w:r>
          </w:p>
          <w:p w:rsidR="00E10391" w:rsidRPr="00F83B6B" w:rsidRDefault="00E10391" w:rsidP="00E10391">
            <w:pPr>
              <w:numPr>
                <w:ilvl w:val="0"/>
                <w:numId w:val="24"/>
              </w:numPr>
              <w:spacing w:before="40" w:after="40"/>
              <w:ind w:left="284" w:hanging="284"/>
              <w:rPr>
                <w:rFonts w:ascii="Arial" w:hAnsi="Arial" w:cs="Arial"/>
                <w:sz w:val="18"/>
                <w:szCs w:val="18"/>
              </w:rPr>
            </w:pPr>
            <w:r>
              <w:rPr>
                <w:rFonts w:ascii="Arial" w:hAnsi="Arial" w:cs="Arial"/>
                <w:sz w:val="18"/>
                <w:szCs w:val="18"/>
              </w:rPr>
              <w:t>Ability to support the safety and compatibility of all ingredients and the quality, safety efficacy and rationality of the formulation using sound clinical and pharmaceutical evidence.</w:t>
            </w:r>
          </w:p>
        </w:tc>
      </w:tr>
      <w:tr w:rsidR="00E10391" w:rsidRPr="00F83B6B" w:rsidTr="00A66271">
        <w:trPr>
          <w:cantSplit/>
        </w:trPr>
        <w:tc>
          <w:tcPr>
            <w:tcW w:w="9923" w:type="dxa"/>
            <w:gridSpan w:val="2"/>
            <w:tcBorders>
              <w:bottom w:val="single" w:sz="4" w:space="0" w:color="auto"/>
            </w:tcBorders>
            <w:shd w:val="clear" w:color="auto" w:fill="FABF8F" w:themeFill="accent6" w:themeFillTint="99"/>
          </w:tcPr>
          <w:p w:rsidR="00E10391" w:rsidRPr="00F83B6B" w:rsidRDefault="00E10391" w:rsidP="00A66271">
            <w:pPr>
              <w:spacing w:before="40" w:after="40"/>
              <w:rPr>
                <w:rFonts w:ascii="Arial" w:hAnsi="Arial" w:cs="Arial"/>
                <w:b/>
                <w:sz w:val="18"/>
                <w:szCs w:val="18"/>
              </w:rPr>
            </w:pPr>
            <w:r w:rsidRPr="00F83B6B">
              <w:rPr>
                <w:rFonts w:ascii="Arial" w:hAnsi="Arial" w:cs="Arial"/>
                <w:b/>
                <w:sz w:val="18"/>
                <w:szCs w:val="18"/>
              </w:rPr>
              <w:t xml:space="preserve">Element 4 – Determine if production requirements can be met </w:t>
            </w:r>
          </w:p>
        </w:tc>
      </w:tr>
      <w:tr w:rsidR="00E10391" w:rsidRPr="00F83B6B" w:rsidTr="00A66271">
        <w:trPr>
          <w:cantSplit/>
        </w:trPr>
        <w:tc>
          <w:tcPr>
            <w:tcW w:w="3686" w:type="dxa"/>
            <w:tcBorders>
              <w:bottom w:val="single" w:sz="4" w:space="0" w:color="auto"/>
            </w:tcBorders>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1</w:t>
            </w:r>
            <w:r w:rsidRPr="00F83B6B">
              <w:rPr>
                <w:rFonts w:ascii="Arial" w:hAnsi="Arial" w:cs="Arial"/>
                <w:sz w:val="18"/>
                <w:szCs w:val="18"/>
              </w:rPr>
              <w:tab/>
              <w:t>Understands the formulation instructions, including preparation methods.</w:t>
            </w:r>
          </w:p>
        </w:tc>
        <w:tc>
          <w:tcPr>
            <w:tcW w:w="6237" w:type="dxa"/>
            <w:tcBorders>
              <w:bottom w:val="single" w:sz="4" w:space="0" w:color="auto"/>
            </w:tcBorders>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interpret and explain the terminology, abbreviations and instructions for preparing specific products.</w:t>
            </w:r>
          </w:p>
        </w:tc>
      </w:tr>
      <w:tr w:rsidR="00E10391" w:rsidRPr="00F83B6B" w:rsidTr="00A66271">
        <w:trPr>
          <w:cantSplit/>
        </w:trPr>
        <w:tc>
          <w:tcPr>
            <w:tcW w:w="3686" w:type="dxa"/>
            <w:tcBorders>
              <w:bottom w:val="single" w:sz="4" w:space="0" w:color="auto"/>
            </w:tcBorders>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2</w:t>
            </w:r>
            <w:r w:rsidRPr="00F83B6B">
              <w:rPr>
                <w:rFonts w:ascii="Arial" w:hAnsi="Arial" w:cs="Arial"/>
                <w:sz w:val="18"/>
                <w:szCs w:val="18"/>
              </w:rPr>
              <w:tab/>
              <w:t>Understands issues impacting on stability that are likely to influence preparation technique and selection of final storage container.</w:t>
            </w:r>
          </w:p>
        </w:tc>
        <w:tc>
          <w:tcPr>
            <w:tcW w:w="6237" w:type="dxa"/>
            <w:tcBorders>
              <w:bottom w:val="single" w:sz="4" w:space="0" w:color="auto"/>
            </w:tcBorders>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describe the effects of moisture, oxygen, light, heat and microbiological contamination on product stability, efficacy and shelf-life.</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identify or promptly access information on any issues impacting on the stability/shelf-life of particular </w:t>
            </w:r>
            <w:r>
              <w:rPr>
                <w:rFonts w:ascii="Arial" w:hAnsi="Arial" w:cs="Arial"/>
                <w:sz w:val="18"/>
                <w:szCs w:val="18"/>
              </w:rPr>
              <w:t xml:space="preserve">compounded </w:t>
            </w:r>
            <w:r w:rsidRPr="00F83B6B">
              <w:rPr>
                <w:rFonts w:ascii="Arial" w:hAnsi="Arial" w:cs="Arial"/>
                <w:sz w:val="18"/>
                <w:szCs w:val="18"/>
              </w:rPr>
              <w:t>products.</w:t>
            </w:r>
          </w:p>
        </w:tc>
      </w:tr>
      <w:tr w:rsidR="00E10391" w:rsidRPr="00F83B6B" w:rsidTr="00A66271">
        <w:trPr>
          <w:cantSplit/>
        </w:trPr>
        <w:tc>
          <w:tcPr>
            <w:tcW w:w="3686" w:type="dxa"/>
            <w:tcBorders>
              <w:bottom w:val="single" w:sz="4" w:space="0" w:color="auto"/>
            </w:tcBorders>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lastRenderedPageBreak/>
              <w:t>3</w:t>
            </w:r>
            <w:r w:rsidRPr="00F83B6B">
              <w:rPr>
                <w:rFonts w:ascii="Arial" w:hAnsi="Arial" w:cs="Arial"/>
                <w:sz w:val="18"/>
                <w:szCs w:val="18"/>
              </w:rPr>
              <w:tab/>
              <w:t>Confirms the active ingredients and excipients required for preparing the product and their suitability for use.</w:t>
            </w:r>
          </w:p>
        </w:tc>
        <w:tc>
          <w:tcPr>
            <w:tcW w:w="6237" w:type="dxa"/>
            <w:tcBorders>
              <w:bottom w:val="single" w:sz="4" w:space="0" w:color="auto"/>
            </w:tcBorders>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accurately identify ingredients by trade, generic or common name</w:t>
            </w:r>
            <w:r>
              <w:rPr>
                <w:rFonts w:ascii="Arial" w:hAnsi="Arial" w:cs="Arial"/>
                <w:sz w:val="18"/>
                <w:szCs w:val="18"/>
              </w:rPr>
              <w:t xml:space="preserve"> and to differentiate their quality on the basis of the certificates of analysis or ingredient specifications</w:t>
            </w:r>
            <w:r w:rsidR="000B019A">
              <w:rPr>
                <w:rFonts w:ascii="Arial" w:hAnsi="Arial" w:cs="Arial"/>
                <w:sz w:val="18"/>
                <w:szCs w:val="18"/>
              </w:rPr>
              <w:t xml:space="preserve">, including </w:t>
            </w:r>
            <w:r w:rsidR="009B3E4C">
              <w:rPr>
                <w:rFonts w:ascii="Arial" w:hAnsi="Arial" w:cs="Arial"/>
                <w:sz w:val="18"/>
                <w:szCs w:val="18"/>
              </w:rPr>
              <w:t>where these are provided by external contractors</w:t>
            </w:r>
            <w:r w:rsidRPr="00F83B6B">
              <w:rPr>
                <w:rFonts w:ascii="Arial" w:hAnsi="Arial" w:cs="Arial"/>
                <w:sz w:val="18"/>
                <w:szCs w:val="18"/>
              </w:rPr>
              <w:t>.</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differentiate active ingredients from excipients and to explain the purpose of each ingredient present in the formulation (e.g. therapeutic agent, vehicle, flavouring </w:t>
            </w:r>
            <w:r>
              <w:rPr>
                <w:rFonts w:ascii="Arial" w:hAnsi="Arial" w:cs="Arial"/>
                <w:sz w:val="18"/>
                <w:szCs w:val="18"/>
              </w:rPr>
              <w:t>or</w:t>
            </w:r>
            <w:r w:rsidRPr="00F83B6B">
              <w:rPr>
                <w:rFonts w:ascii="Arial" w:hAnsi="Arial" w:cs="Arial"/>
                <w:sz w:val="18"/>
                <w:szCs w:val="18"/>
              </w:rPr>
              <w:t xml:space="preserve"> suspending agent, buffer, antioxidant, preservative).</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Ensures storage conditions for ingredients and materials are optimal for protecting their integrity and quality.</w:t>
            </w:r>
          </w:p>
        </w:tc>
      </w:tr>
      <w:tr w:rsidR="00E10391" w:rsidRPr="00F83B6B" w:rsidTr="00A66271">
        <w:trPr>
          <w:cantSplit/>
        </w:trPr>
        <w:tc>
          <w:tcPr>
            <w:tcW w:w="3686" w:type="dxa"/>
            <w:tcBorders>
              <w:bottom w:val="single" w:sz="4" w:space="0" w:color="auto"/>
            </w:tcBorders>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4</w:t>
            </w:r>
            <w:r w:rsidRPr="00F83B6B">
              <w:rPr>
                <w:rFonts w:ascii="Arial" w:hAnsi="Arial" w:cs="Arial"/>
                <w:sz w:val="18"/>
                <w:szCs w:val="18"/>
              </w:rPr>
              <w:tab/>
              <w:t>Understands the requirement to assess any risks associated with handling and/or manipulating the product and/or product ingredients.</w:t>
            </w:r>
          </w:p>
        </w:tc>
        <w:tc>
          <w:tcPr>
            <w:tcW w:w="6237" w:type="dxa"/>
            <w:tcBorders>
              <w:bottom w:val="single" w:sz="4" w:space="0" w:color="auto"/>
            </w:tcBorders>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w:t>
            </w:r>
            <w:r>
              <w:rPr>
                <w:rFonts w:ascii="Arial" w:hAnsi="Arial" w:cs="Arial"/>
                <w:sz w:val="18"/>
                <w:szCs w:val="18"/>
              </w:rPr>
              <w:t xml:space="preserve">use Safety Data Sheets or other resources to </w:t>
            </w:r>
            <w:r w:rsidRPr="00F83B6B">
              <w:rPr>
                <w:rFonts w:ascii="Arial" w:hAnsi="Arial" w:cs="Arial"/>
                <w:sz w:val="18"/>
                <w:szCs w:val="18"/>
              </w:rPr>
              <w:t xml:space="preserve">undertake a risk assessment and identify any sources of risk </w:t>
            </w:r>
            <w:r>
              <w:rPr>
                <w:rFonts w:ascii="Arial" w:hAnsi="Arial" w:cs="Arial"/>
                <w:sz w:val="18"/>
                <w:szCs w:val="18"/>
              </w:rPr>
              <w:t>(</w:t>
            </w:r>
            <w:r w:rsidRPr="00F83B6B">
              <w:rPr>
                <w:rFonts w:ascii="Arial" w:hAnsi="Arial" w:cs="Arial"/>
                <w:sz w:val="18"/>
                <w:szCs w:val="18"/>
              </w:rPr>
              <w:t xml:space="preserve">e.g. cytotoxic or teratogenic agents, biologicals, </w:t>
            </w:r>
            <w:r>
              <w:rPr>
                <w:rFonts w:ascii="Arial" w:hAnsi="Arial" w:cs="Arial"/>
                <w:sz w:val="18"/>
                <w:szCs w:val="18"/>
              </w:rPr>
              <w:t>hormones, irritants</w:t>
            </w:r>
            <w:r w:rsidRPr="00F83B6B">
              <w:rPr>
                <w:rFonts w:ascii="Arial" w:hAnsi="Arial" w:cs="Arial"/>
                <w:sz w:val="18"/>
                <w:szCs w:val="18"/>
              </w:rPr>
              <w:t>)</w:t>
            </w:r>
            <w:r>
              <w:rPr>
                <w:rFonts w:ascii="Arial" w:hAnsi="Arial" w:cs="Arial"/>
                <w:sz w:val="18"/>
                <w:szCs w:val="18"/>
              </w:rPr>
              <w:t xml:space="preserve"> </w:t>
            </w:r>
            <w:r w:rsidRPr="00F83B6B">
              <w:rPr>
                <w:rFonts w:ascii="Arial" w:hAnsi="Arial" w:cs="Arial"/>
                <w:sz w:val="18"/>
                <w:szCs w:val="18"/>
              </w:rPr>
              <w:t>posed to personnel, the product or the environment</w:t>
            </w:r>
            <w:r>
              <w:rPr>
                <w:rFonts w:ascii="Arial" w:hAnsi="Arial" w:cs="Arial"/>
                <w:sz w:val="18"/>
                <w:szCs w:val="18"/>
              </w:rPr>
              <w:t>.</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differentiate products that may be prepared at an open manufacturing workstation from those that require aseptic dispensing (e.g. eye drops, injections and instillations)</w:t>
            </w:r>
            <w:r>
              <w:rPr>
                <w:rFonts w:ascii="Arial" w:hAnsi="Arial" w:cs="Arial"/>
                <w:sz w:val="18"/>
                <w:szCs w:val="18"/>
              </w:rPr>
              <w:t xml:space="preserve"> in an isolator cabinet or </w:t>
            </w:r>
            <w:r w:rsidR="009B3E4C">
              <w:rPr>
                <w:rFonts w:ascii="Arial" w:hAnsi="Arial" w:cs="Arial"/>
                <w:sz w:val="18"/>
                <w:szCs w:val="18"/>
              </w:rPr>
              <w:t xml:space="preserve">laminar air flow work station in a </w:t>
            </w:r>
            <w:r>
              <w:rPr>
                <w:rFonts w:ascii="Arial" w:hAnsi="Arial" w:cs="Arial"/>
                <w:sz w:val="18"/>
                <w:szCs w:val="18"/>
              </w:rPr>
              <w:t>cleanroom</w:t>
            </w:r>
            <w:r w:rsidRPr="00F83B6B">
              <w:rPr>
                <w:rFonts w:ascii="Arial" w:hAnsi="Arial" w:cs="Arial"/>
                <w:sz w:val="18"/>
                <w:szCs w:val="18"/>
              </w:rPr>
              <w:t>.</w:t>
            </w:r>
          </w:p>
          <w:p w:rsidR="00E10391"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describe and/or demonstrate safe handling techniques (e.g. order of addition, use of specialised equipment/facilities) for ingredients that are potentially harmful (e.g. strong acids and alkalis, podophyllin, cytotoxic agents).</w:t>
            </w:r>
          </w:p>
          <w:p w:rsidR="00E10391" w:rsidRPr="00F83B6B" w:rsidRDefault="00E10391" w:rsidP="003F1DC0">
            <w:pPr>
              <w:numPr>
                <w:ilvl w:val="0"/>
                <w:numId w:val="24"/>
              </w:numPr>
              <w:spacing w:before="40" w:after="40"/>
              <w:ind w:left="284" w:hanging="284"/>
              <w:rPr>
                <w:rFonts w:ascii="Arial" w:hAnsi="Arial" w:cs="Arial"/>
                <w:sz w:val="18"/>
                <w:szCs w:val="18"/>
              </w:rPr>
            </w:pPr>
            <w:r>
              <w:rPr>
                <w:rFonts w:ascii="Arial" w:hAnsi="Arial" w:cs="Arial"/>
                <w:sz w:val="18"/>
                <w:szCs w:val="18"/>
              </w:rPr>
              <w:t>Ability to describe required practi</w:t>
            </w:r>
            <w:r w:rsidR="003F1DC0">
              <w:rPr>
                <w:rFonts w:ascii="Arial" w:hAnsi="Arial" w:cs="Arial"/>
                <w:sz w:val="18"/>
                <w:szCs w:val="18"/>
              </w:rPr>
              <w:t>c</w:t>
            </w:r>
            <w:r>
              <w:rPr>
                <w:rFonts w:ascii="Arial" w:hAnsi="Arial" w:cs="Arial"/>
                <w:sz w:val="18"/>
                <w:szCs w:val="18"/>
              </w:rPr>
              <w:t xml:space="preserve">es for the safe and effective cleaning of equipment used and for the safe disposal of waste materials generated from the compounding process (e.g. sharps, consumables and hazardous materials). </w:t>
            </w:r>
          </w:p>
        </w:tc>
      </w:tr>
      <w:tr w:rsidR="00E10391" w:rsidRPr="00F83B6B" w:rsidTr="00A66271">
        <w:trPr>
          <w:cantSplit/>
        </w:trPr>
        <w:tc>
          <w:tcPr>
            <w:tcW w:w="3686" w:type="dxa"/>
            <w:tcBorders>
              <w:bottom w:val="single" w:sz="4" w:space="0" w:color="auto"/>
            </w:tcBorders>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5</w:t>
            </w:r>
            <w:r w:rsidRPr="00F83B6B">
              <w:rPr>
                <w:rFonts w:ascii="Arial" w:hAnsi="Arial" w:cs="Arial"/>
                <w:sz w:val="18"/>
                <w:szCs w:val="18"/>
              </w:rPr>
              <w:tab/>
              <w:t>Confirms availability and suitability of required equipment/environment.</w:t>
            </w:r>
          </w:p>
        </w:tc>
        <w:tc>
          <w:tcPr>
            <w:tcW w:w="6237" w:type="dxa"/>
            <w:tcBorders>
              <w:bottom w:val="single" w:sz="4" w:space="0" w:color="auto"/>
            </w:tcBorders>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identify equipment/environment appropriate for the preparation of a specific product (e.g. </w:t>
            </w:r>
            <w:r>
              <w:rPr>
                <w:rFonts w:ascii="Arial" w:hAnsi="Arial" w:cs="Arial"/>
                <w:sz w:val="18"/>
                <w:szCs w:val="18"/>
              </w:rPr>
              <w:t xml:space="preserve">pharmaceutical isolator cabinet, </w:t>
            </w:r>
            <w:r w:rsidR="009B3E4C">
              <w:rPr>
                <w:rFonts w:ascii="Arial" w:hAnsi="Arial" w:cs="Arial"/>
                <w:sz w:val="18"/>
                <w:szCs w:val="18"/>
              </w:rPr>
              <w:t xml:space="preserve">laminar air flow workstation in a </w:t>
            </w:r>
            <w:r w:rsidRPr="00F83B6B">
              <w:rPr>
                <w:rFonts w:ascii="Arial" w:hAnsi="Arial" w:cs="Arial"/>
                <w:sz w:val="18"/>
                <w:szCs w:val="18"/>
              </w:rPr>
              <w:t xml:space="preserve">cleanroom, </w:t>
            </w:r>
            <w:r>
              <w:rPr>
                <w:rFonts w:ascii="Arial" w:hAnsi="Arial" w:cs="Arial"/>
                <w:sz w:val="18"/>
                <w:szCs w:val="18"/>
              </w:rPr>
              <w:t>powder mill, capsule machine</w:t>
            </w:r>
            <w:r w:rsidRPr="00F83B6B">
              <w:rPr>
                <w:rFonts w:ascii="Arial" w:hAnsi="Arial" w:cs="Arial"/>
                <w:sz w:val="18"/>
                <w:szCs w:val="18"/>
              </w:rPr>
              <w:t xml:space="preserve">, </w:t>
            </w:r>
            <w:r>
              <w:rPr>
                <w:rFonts w:ascii="Arial" w:hAnsi="Arial" w:cs="Arial"/>
                <w:sz w:val="18"/>
                <w:szCs w:val="18"/>
              </w:rPr>
              <w:t>pH meter</w:t>
            </w:r>
            <w:r w:rsidRPr="00F83B6B">
              <w:rPr>
                <w:rFonts w:ascii="Arial" w:hAnsi="Arial" w:cs="Arial"/>
                <w:sz w:val="18"/>
                <w:szCs w:val="18"/>
              </w:rPr>
              <w:t xml:space="preserve">, </w:t>
            </w:r>
            <w:r>
              <w:rPr>
                <w:rFonts w:ascii="Arial" w:hAnsi="Arial" w:cs="Arial"/>
                <w:sz w:val="18"/>
                <w:szCs w:val="18"/>
              </w:rPr>
              <w:t xml:space="preserve">high precision </w:t>
            </w:r>
            <w:r w:rsidRPr="00F83B6B">
              <w:rPr>
                <w:rFonts w:ascii="Arial" w:hAnsi="Arial" w:cs="Arial"/>
                <w:sz w:val="18"/>
                <w:szCs w:val="18"/>
              </w:rPr>
              <w:t xml:space="preserve">measures and </w:t>
            </w:r>
            <w:r>
              <w:rPr>
                <w:rFonts w:ascii="Arial" w:hAnsi="Arial" w:cs="Arial"/>
                <w:sz w:val="18"/>
                <w:szCs w:val="18"/>
              </w:rPr>
              <w:t xml:space="preserve">electronic </w:t>
            </w:r>
            <w:r w:rsidRPr="00F83B6B">
              <w:rPr>
                <w:rFonts w:ascii="Arial" w:hAnsi="Arial" w:cs="Arial"/>
                <w:sz w:val="18"/>
                <w:szCs w:val="18"/>
              </w:rPr>
              <w:t>balances).</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confirm the required equipment/environment is clean and has been properly maintained (e.g. recalibrated or recertified according to manufacturer’s instructions or local policy).</w:t>
            </w:r>
          </w:p>
        </w:tc>
      </w:tr>
      <w:tr w:rsidR="00E10391" w:rsidRPr="00F83B6B" w:rsidTr="00A66271">
        <w:trPr>
          <w:cantSplit/>
        </w:trPr>
        <w:tc>
          <w:tcPr>
            <w:tcW w:w="3686" w:type="dxa"/>
            <w:shd w:val="clear" w:color="auto" w:fill="auto"/>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6</w:t>
            </w:r>
            <w:r w:rsidRPr="00F83B6B">
              <w:rPr>
                <w:rFonts w:ascii="Arial" w:hAnsi="Arial" w:cs="Arial"/>
                <w:sz w:val="18"/>
                <w:szCs w:val="18"/>
              </w:rPr>
              <w:tab/>
              <w:t>Identifies an appropriate course of action where preparation requirements cannot be met.</w:t>
            </w:r>
          </w:p>
        </w:tc>
        <w:tc>
          <w:tcPr>
            <w:tcW w:w="6237" w:type="dxa"/>
            <w:shd w:val="clear" w:color="auto" w:fill="auto"/>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use problem-solving skills to identify a course of action or make a recommendation that addresses consumer need where a product cannot be made in the workplace.</w:t>
            </w:r>
          </w:p>
        </w:tc>
      </w:tr>
      <w:tr w:rsidR="00E10391" w:rsidRPr="00F83B6B" w:rsidTr="00A66271">
        <w:trPr>
          <w:cantSplit/>
        </w:trPr>
        <w:tc>
          <w:tcPr>
            <w:tcW w:w="9923" w:type="dxa"/>
            <w:gridSpan w:val="2"/>
            <w:shd w:val="clear" w:color="auto" w:fill="FABF8F" w:themeFill="accent6" w:themeFillTint="99"/>
          </w:tcPr>
          <w:p w:rsidR="00E10391" w:rsidRPr="00F83B6B" w:rsidRDefault="00E10391" w:rsidP="00A66271">
            <w:pPr>
              <w:keepNext/>
              <w:spacing w:before="40" w:after="40"/>
              <w:rPr>
                <w:rFonts w:ascii="Arial" w:hAnsi="Arial" w:cs="Arial"/>
                <w:sz w:val="18"/>
                <w:szCs w:val="18"/>
              </w:rPr>
            </w:pPr>
            <w:r w:rsidRPr="00F83B6B">
              <w:rPr>
                <w:rFonts w:ascii="Arial" w:hAnsi="Arial" w:cs="Arial"/>
                <w:b/>
                <w:sz w:val="18"/>
                <w:szCs w:val="18"/>
              </w:rPr>
              <w:t>Element 5 – Prepare and maintain product documentation</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pStyle w:val="Header"/>
              <w:spacing w:before="40" w:after="40"/>
              <w:ind w:left="397" w:hanging="397"/>
              <w:rPr>
                <w:rFonts w:ascii="Arial" w:hAnsi="Arial" w:cs="Arial"/>
                <w:sz w:val="18"/>
                <w:szCs w:val="18"/>
              </w:rPr>
            </w:pPr>
            <w:r w:rsidRPr="00F83B6B">
              <w:rPr>
                <w:rFonts w:ascii="Arial" w:hAnsi="Arial" w:cs="Arial"/>
                <w:sz w:val="18"/>
                <w:szCs w:val="18"/>
              </w:rPr>
              <w:t>1</w:t>
            </w:r>
            <w:r w:rsidRPr="00F83B6B">
              <w:rPr>
                <w:rFonts w:ascii="Arial" w:hAnsi="Arial" w:cs="Arial"/>
                <w:sz w:val="18"/>
                <w:szCs w:val="18"/>
              </w:rPr>
              <w:tab/>
              <w:t>Understands the value of using a worksheet, logbook or register for recording details of prepared products.</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describe the reasons for completing a product worksheet/logbook/register (e.g. tracking batches of ingredients in the event of a recall, checking of involved personnel, quantities and ingredients in the event of consumer complaint or misadventure).</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pStyle w:val="Header"/>
              <w:spacing w:before="40" w:after="40"/>
              <w:ind w:left="397" w:hanging="397"/>
              <w:rPr>
                <w:rFonts w:ascii="Arial" w:hAnsi="Arial" w:cs="Arial"/>
                <w:sz w:val="18"/>
                <w:szCs w:val="18"/>
              </w:rPr>
            </w:pPr>
            <w:r w:rsidRPr="00F83B6B">
              <w:rPr>
                <w:rFonts w:ascii="Arial" w:hAnsi="Arial" w:cs="Arial"/>
                <w:sz w:val="18"/>
                <w:szCs w:val="18"/>
              </w:rPr>
              <w:t>2</w:t>
            </w:r>
            <w:r w:rsidRPr="00F83B6B">
              <w:rPr>
                <w:rFonts w:ascii="Arial" w:hAnsi="Arial" w:cs="Arial"/>
                <w:sz w:val="18"/>
                <w:szCs w:val="18"/>
              </w:rPr>
              <w:tab/>
              <w:t>Calculates the required quantities for each of the ingredients in the final product.</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accurately calculate requirements for the final </w:t>
            </w:r>
            <w:r>
              <w:rPr>
                <w:rFonts w:ascii="Arial" w:hAnsi="Arial" w:cs="Arial"/>
                <w:sz w:val="18"/>
                <w:szCs w:val="18"/>
              </w:rPr>
              <w:t xml:space="preserve">complex compounded </w:t>
            </w:r>
            <w:r w:rsidRPr="00F83B6B">
              <w:rPr>
                <w:rFonts w:ascii="Arial" w:hAnsi="Arial" w:cs="Arial"/>
                <w:sz w:val="18"/>
                <w:szCs w:val="18"/>
              </w:rPr>
              <w:t>product (e.g. weight</w:t>
            </w:r>
            <w:r>
              <w:rPr>
                <w:rFonts w:ascii="Arial" w:hAnsi="Arial" w:cs="Arial"/>
                <w:sz w:val="18"/>
                <w:szCs w:val="18"/>
              </w:rPr>
              <w:t>s</w:t>
            </w:r>
            <w:r w:rsidRPr="00F83B6B">
              <w:rPr>
                <w:rFonts w:ascii="Arial" w:hAnsi="Arial" w:cs="Arial"/>
                <w:sz w:val="18"/>
                <w:szCs w:val="18"/>
              </w:rPr>
              <w:t>, volumes, percentages, displacement values</w:t>
            </w:r>
            <w:r>
              <w:rPr>
                <w:rFonts w:ascii="Arial" w:hAnsi="Arial" w:cs="Arial"/>
                <w:sz w:val="18"/>
                <w:szCs w:val="18"/>
              </w:rPr>
              <w:t>, strengths,</w:t>
            </w:r>
            <w:r w:rsidRPr="00F83B6B">
              <w:rPr>
                <w:rFonts w:ascii="Arial" w:hAnsi="Arial" w:cs="Arial"/>
                <w:sz w:val="18"/>
                <w:szCs w:val="18"/>
              </w:rPr>
              <w:t xml:space="preserve"> aliquots</w:t>
            </w:r>
            <w:r>
              <w:rPr>
                <w:rFonts w:ascii="Arial" w:hAnsi="Arial" w:cs="Arial"/>
                <w:sz w:val="18"/>
                <w:szCs w:val="18"/>
              </w:rPr>
              <w:t xml:space="preserve"> and</w:t>
            </w:r>
            <w:r w:rsidRPr="00F83B6B">
              <w:rPr>
                <w:rFonts w:ascii="Arial" w:hAnsi="Arial" w:cs="Arial"/>
                <w:sz w:val="18"/>
                <w:szCs w:val="18"/>
              </w:rPr>
              <w:t xml:space="preserve"> dilutions)</w:t>
            </w:r>
            <w:r>
              <w:rPr>
                <w:rFonts w:ascii="Arial" w:hAnsi="Arial" w:cs="Arial"/>
                <w:sz w:val="18"/>
                <w:szCs w:val="18"/>
              </w:rPr>
              <w:t>.</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3</w:t>
            </w:r>
            <w:r w:rsidRPr="00F83B6B">
              <w:rPr>
                <w:rFonts w:ascii="Arial" w:hAnsi="Arial" w:cs="Arial"/>
                <w:sz w:val="18"/>
                <w:szCs w:val="18"/>
              </w:rPr>
              <w:tab/>
              <w:t>Ensures product worksheet, logbook or register is legible, accurate and complete.</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demonstrate the use of a worksheet, logbook or register as appropriate to document the details of </w:t>
            </w:r>
            <w:r w:rsidR="00E81FF0">
              <w:rPr>
                <w:rFonts w:ascii="Arial" w:hAnsi="Arial" w:cs="Arial"/>
                <w:sz w:val="18"/>
                <w:szCs w:val="18"/>
              </w:rPr>
              <w:t xml:space="preserve">routinely and ad hoc </w:t>
            </w:r>
            <w:r w:rsidRPr="00F83B6B">
              <w:rPr>
                <w:rFonts w:ascii="Arial" w:hAnsi="Arial" w:cs="Arial"/>
                <w:sz w:val="18"/>
                <w:szCs w:val="18"/>
              </w:rPr>
              <w:t>prepared products, including ingredients and their batch number and expiry dates, compounding process, and expiry date and labelling of the final product.</w:t>
            </w:r>
          </w:p>
          <w:p w:rsidR="00E10391" w:rsidRPr="00F83B6B" w:rsidRDefault="00E10391" w:rsidP="00E81FF0">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w:t>
            </w:r>
            <w:r w:rsidR="00E81FF0">
              <w:rPr>
                <w:rFonts w:ascii="Arial" w:hAnsi="Arial" w:cs="Arial"/>
                <w:sz w:val="18"/>
                <w:szCs w:val="18"/>
              </w:rPr>
              <w:t xml:space="preserve">create master manufacturing worksheets and to </w:t>
            </w:r>
            <w:r w:rsidRPr="00F83B6B">
              <w:rPr>
                <w:rFonts w:ascii="Arial" w:hAnsi="Arial" w:cs="Arial"/>
                <w:sz w:val="18"/>
                <w:szCs w:val="18"/>
              </w:rPr>
              <w:t xml:space="preserve">recognise calculation errors and/or inconsistencies between </w:t>
            </w:r>
            <w:r w:rsidR="00E81FF0">
              <w:rPr>
                <w:rFonts w:ascii="Arial" w:hAnsi="Arial" w:cs="Arial"/>
                <w:sz w:val="18"/>
                <w:szCs w:val="18"/>
              </w:rPr>
              <w:t>a</w:t>
            </w:r>
            <w:r w:rsidRPr="00F83B6B">
              <w:rPr>
                <w:rFonts w:ascii="Arial" w:hAnsi="Arial" w:cs="Arial"/>
                <w:sz w:val="18"/>
                <w:szCs w:val="18"/>
              </w:rPr>
              <w:t xml:space="preserve"> worksheet/logbook/register and </w:t>
            </w:r>
            <w:r w:rsidR="00E81FF0">
              <w:rPr>
                <w:rFonts w:ascii="Arial" w:hAnsi="Arial" w:cs="Arial"/>
                <w:sz w:val="18"/>
                <w:szCs w:val="18"/>
              </w:rPr>
              <w:t xml:space="preserve">a </w:t>
            </w:r>
            <w:r w:rsidRPr="00F83B6B">
              <w:rPr>
                <w:rFonts w:ascii="Arial" w:hAnsi="Arial" w:cs="Arial"/>
                <w:sz w:val="18"/>
                <w:szCs w:val="18"/>
              </w:rPr>
              <w:t>master manufacturing sheet or product order/prescription.</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4</w:t>
            </w:r>
            <w:r w:rsidRPr="00F83B6B">
              <w:rPr>
                <w:rFonts w:ascii="Arial" w:hAnsi="Arial" w:cs="Arial"/>
                <w:sz w:val="18"/>
                <w:szCs w:val="18"/>
              </w:rPr>
              <w:tab/>
              <w:t>Seeks additional information or guidance about any issue of concern or uncertainty before proceeding to preparation of the product.</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describe or demonstrate ways in which additional guidance or enhanced certainty can be achieved (e.g. double checking of calculations by another individual, reviewing preparation methods described in master worksheet, use of reference texts to confirm strengths, doses or dilutions).</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lastRenderedPageBreak/>
              <w:t>5</w:t>
            </w:r>
            <w:r w:rsidRPr="00F83B6B">
              <w:rPr>
                <w:rFonts w:ascii="Arial" w:hAnsi="Arial" w:cs="Arial"/>
                <w:sz w:val="18"/>
                <w:szCs w:val="18"/>
              </w:rPr>
              <w:tab/>
              <w:t>Applies a systematic process for assigning batch numbers and storing records of prepared products.</w:t>
            </w:r>
          </w:p>
        </w:tc>
        <w:tc>
          <w:tcPr>
            <w:tcW w:w="6237" w:type="dxa"/>
            <w:shd w:val="clear" w:color="auto" w:fill="DBE5F1" w:themeFill="accent1" w:themeFillTint="33"/>
          </w:tcPr>
          <w:p w:rsidR="00E10391"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demonstrate and/or describe a system for creating batch numbers and storing and retrieving records of </w:t>
            </w:r>
            <w:r>
              <w:rPr>
                <w:rFonts w:ascii="Arial" w:hAnsi="Arial" w:cs="Arial"/>
                <w:sz w:val="18"/>
                <w:szCs w:val="18"/>
              </w:rPr>
              <w:t>complex compounded</w:t>
            </w:r>
            <w:r w:rsidRPr="00F83B6B">
              <w:rPr>
                <w:rFonts w:ascii="Arial" w:hAnsi="Arial" w:cs="Arial"/>
                <w:sz w:val="18"/>
                <w:szCs w:val="18"/>
              </w:rPr>
              <w:t xml:space="preserve"> products.</w:t>
            </w:r>
          </w:p>
          <w:p w:rsidR="00E10391" w:rsidRPr="00F83B6B" w:rsidRDefault="00E10391" w:rsidP="00E10391">
            <w:pPr>
              <w:numPr>
                <w:ilvl w:val="0"/>
                <w:numId w:val="24"/>
              </w:numPr>
              <w:spacing w:before="40" w:after="40"/>
              <w:ind w:left="284" w:hanging="284"/>
              <w:rPr>
                <w:rFonts w:ascii="Arial" w:hAnsi="Arial" w:cs="Arial"/>
                <w:sz w:val="18"/>
                <w:szCs w:val="18"/>
              </w:rPr>
            </w:pPr>
            <w:r>
              <w:rPr>
                <w:rFonts w:ascii="Arial" w:hAnsi="Arial" w:cs="Arial"/>
                <w:sz w:val="18"/>
                <w:szCs w:val="18"/>
              </w:rPr>
              <w:t>Ability to describe the way in which the product documentation provides an audit trail for the ingredients used and the final product</w:t>
            </w:r>
            <w:r w:rsidR="00E81FF0">
              <w:rPr>
                <w:rFonts w:ascii="Arial" w:hAnsi="Arial" w:cs="Arial"/>
                <w:sz w:val="18"/>
                <w:szCs w:val="18"/>
              </w:rPr>
              <w:t xml:space="preserve"> that can be used in the event of an adverse effect or recall</w:t>
            </w:r>
            <w:r>
              <w:rPr>
                <w:rFonts w:ascii="Arial" w:hAnsi="Arial" w:cs="Arial"/>
                <w:sz w:val="18"/>
                <w:szCs w:val="18"/>
              </w:rPr>
              <w:t>.</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undertake recording and record storage functions consistent with local policies and procedures.</w:t>
            </w:r>
          </w:p>
        </w:tc>
      </w:tr>
    </w:tbl>
    <w:p w:rsidR="00E10391" w:rsidRDefault="00E10391" w:rsidP="00E10391">
      <w:r>
        <w:br w:type="page"/>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237"/>
      </w:tblGrid>
      <w:tr w:rsidR="00E10391" w:rsidRPr="00F83B6B" w:rsidTr="00A66271">
        <w:trPr>
          <w:cantSplit/>
        </w:trPr>
        <w:tc>
          <w:tcPr>
            <w:tcW w:w="9923" w:type="dxa"/>
            <w:gridSpan w:val="2"/>
            <w:shd w:val="clear" w:color="auto" w:fill="FABF8F" w:themeFill="accent6" w:themeFillTint="99"/>
          </w:tcPr>
          <w:p w:rsidR="00E10391" w:rsidRPr="00F83B6B" w:rsidRDefault="00E10391" w:rsidP="001D026C">
            <w:pPr>
              <w:spacing w:before="40" w:after="40"/>
              <w:rPr>
                <w:rFonts w:ascii="Arial" w:hAnsi="Arial" w:cs="Arial"/>
                <w:sz w:val="18"/>
                <w:szCs w:val="18"/>
              </w:rPr>
            </w:pPr>
            <w:r w:rsidRPr="00F83B6B">
              <w:rPr>
                <w:rFonts w:ascii="Arial" w:hAnsi="Arial" w:cs="Arial"/>
                <w:b/>
                <w:sz w:val="18"/>
                <w:szCs w:val="18"/>
              </w:rPr>
              <w:lastRenderedPageBreak/>
              <w:t>Element 6 – Optimise packaging an</w:t>
            </w:r>
            <w:r w:rsidR="001D026C">
              <w:rPr>
                <w:rFonts w:ascii="Arial" w:hAnsi="Arial" w:cs="Arial"/>
                <w:b/>
                <w:sz w:val="18"/>
                <w:szCs w:val="18"/>
              </w:rPr>
              <w:t>d labeling</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1</w:t>
            </w:r>
            <w:r w:rsidRPr="00F83B6B">
              <w:rPr>
                <w:rFonts w:ascii="Arial" w:hAnsi="Arial" w:cs="Arial"/>
                <w:sz w:val="18"/>
                <w:szCs w:val="18"/>
              </w:rPr>
              <w:tab/>
              <w:t>Prepares legible, comprehensible and complete final product labels in accordance with worksheet/logbook/register, legislative requirements and professional conventions.</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promptly access information on legal requirements and professional conventions applicable to the labelling of </w:t>
            </w:r>
            <w:r>
              <w:rPr>
                <w:rFonts w:ascii="Arial" w:hAnsi="Arial" w:cs="Arial"/>
                <w:sz w:val="18"/>
                <w:szCs w:val="18"/>
              </w:rPr>
              <w:t>complex compounded products</w:t>
            </w:r>
            <w:r w:rsidRPr="00F83B6B">
              <w:rPr>
                <w:rFonts w:ascii="Arial" w:hAnsi="Arial" w:cs="Arial"/>
                <w:sz w:val="18"/>
                <w:szCs w:val="18"/>
              </w:rPr>
              <w:t>.</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generate accurate, unambiguous and complete labels consistent with the details on the worksheet/logbook/register and with professional conventions and legal requirements (e.g. including name of consumer, name and contact for the pharmacy, strength/amount of a</w:t>
            </w:r>
            <w:r>
              <w:rPr>
                <w:rFonts w:ascii="Arial" w:hAnsi="Arial" w:cs="Arial"/>
                <w:sz w:val="18"/>
                <w:szCs w:val="18"/>
              </w:rPr>
              <w:t>ll</w:t>
            </w:r>
            <w:r w:rsidRPr="00F83B6B">
              <w:rPr>
                <w:rFonts w:ascii="Arial" w:hAnsi="Arial" w:cs="Arial"/>
                <w:sz w:val="18"/>
                <w:szCs w:val="18"/>
              </w:rPr>
              <w:t xml:space="preserve"> ingredient(s), dosing information, batch number, expiry and storage requirements).</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2</w:t>
            </w:r>
            <w:r w:rsidRPr="00F83B6B">
              <w:rPr>
                <w:rFonts w:ascii="Arial" w:hAnsi="Arial" w:cs="Arial"/>
                <w:sz w:val="18"/>
                <w:szCs w:val="18"/>
              </w:rPr>
              <w:tab/>
              <w:t>Chooses packaging for prepared products that promotes safe use and addresses factors likely to compromise product stability.</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describe and/or use information sources to identify factors (e.g. light, moisture, temperature, container type) impacting on stability and shelf-life.</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choose containers appropriate for the intended use of the product (e.g. dropper bottles for eye and ear drops, Toomey syringe for bladder instillations) and for addressing factors known to impact on product stability/shelf-life (e.g. amber bottles, aluminium foil outer wrapping).</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3</w:t>
            </w:r>
            <w:r w:rsidRPr="00F83B6B">
              <w:rPr>
                <w:rFonts w:ascii="Arial" w:hAnsi="Arial" w:cs="Arial"/>
                <w:sz w:val="18"/>
                <w:szCs w:val="18"/>
              </w:rPr>
              <w:tab/>
              <w:t>Applies labels to prepared products to optimise their stability and promote their correct storage and use.</w:t>
            </w:r>
          </w:p>
        </w:tc>
        <w:tc>
          <w:tcPr>
            <w:tcW w:w="6237" w:type="dxa"/>
            <w:shd w:val="clear" w:color="auto" w:fill="DBE5F1" w:themeFill="accent1" w:themeFillTint="33"/>
          </w:tcPr>
          <w:p w:rsidR="00E10391"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describe additional labelling requirements for specific products that will promote their correct storage and use (e.g. supplementary labels such as ‘Shake the bottle’, ‘Refrigerate’ and ‘Discard after…..days’, or special administration instructions</w:t>
            </w:r>
            <w:r>
              <w:rPr>
                <w:rFonts w:ascii="Arial" w:hAnsi="Arial" w:cs="Arial"/>
                <w:sz w:val="18"/>
                <w:szCs w:val="18"/>
              </w:rPr>
              <w:t xml:space="preserve">). </w:t>
            </w:r>
          </w:p>
          <w:p w:rsidR="00E10391" w:rsidRPr="00F83B6B" w:rsidRDefault="00E10391" w:rsidP="00E10391">
            <w:pPr>
              <w:numPr>
                <w:ilvl w:val="0"/>
                <w:numId w:val="24"/>
              </w:numPr>
              <w:spacing w:before="40" w:after="40"/>
              <w:ind w:left="284" w:hanging="284"/>
              <w:rPr>
                <w:rFonts w:ascii="Arial" w:hAnsi="Arial" w:cs="Arial"/>
                <w:sz w:val="18"/>
                <w:szCs w:val="18"/>
              </w:rPr>
            </w:pPr>
            <w:r>
              <w:rPr>
                <w:rFonts w:ascii="Arial" w:hAnsi="Arial" w:cs="Arial"/>
                <w:sz w:val="18"/>
                <w:szCs w:val="18"/>
              </w:rPr>
              <w:t>Ability to label prepared products without obscuring the manufacturer’s information relevant to the correct storage and/or use of the final product.</w:t>
            </w:r>
          </w:p>
        </w:tc>
      </w:tr>
    </w:tbl>
    <w:p w:rsidR="00E10391" w:rsidRPr="00F83B6B" w:rsidRDefault="00E10391" w:rsidP="00E10391">
      <w:pPr>
        <w:rPr>
          <w:rFonts w:ascii="Arial" w:hAnsi="Arial" w:cs="Arial"/>
          <w:sz w:val="18"/>
          <w:szCs w:val="18"/>
        </w:rPr>
      </w:pPr>
    </w:p>
    <w:p w:rsidR="00E10391" w:rsidRDefault="00E10391" w:rsidP="00E10391">
      <w:pPr>
        <w:rPr>
          <w:rFonts w:ascii="Arial" w:hAnsi="Arial" w:cs="Arial"/>
          <w:b/>
          <w:sz w:val="18"/>
          <w:szCs w:val="18"/>
        </w:rPr>
      </w:pPr>
    </w:p>
    <w:p w:rsidR="00E10391" w:rsidRPr="00D80945" w:rsidRDefault="00E10391" w:rsidP="00E10391">
      <w:pPr>
        <w:pStyle w:val="Heading3"/>
        <w:rPr>
          <w:rFonts w:ascii="Arial" w:hAnsi="Arial" w:cs="Arial"/>
        </w:rPr>
      </w:pPr>
      <w:bookmarkStart w:id="26" w:name="_Toc377638248"/>
      <w:r w:rsidRPr="00D80945">
        <w:rPr>
          <w:rFonts w:ascii="Arial" w:hAnsi="Arial" w:cs="Arial"/>
          <w:color w:val="FF0000"/>
        </w:rPr>
        <w:t>Standard 5.2</w:t>
      </w:r>
      <w:r w:rsidRPr="00D80945">
        <w:rPr>
          <w:rFonts w:ascii="Arial" w:hAnsi="Arial" w:cs="Arial"/>
        </w:rPr>
        <w:t xml:space="preserve"> Prepare non-sterile drug products</w:t>
      </w:r>
      <w:bookmarkEnd w:id="26"/>
    </w:p>
    <w:p w:rsidR="00E10391" w:rsidRPr="00D80945" w:rsidRDefault="00E10391" w:rsidP="00E10391">
      <w:pPr>
        <w:rPr>
          <w:rFonts w:ascii="Arial" w:hAnsi="Arial" w:cs="Arial"/>
          <w:b/>
          <w:sz w:val="18"/>
          <w:szCs w:val="18"/>
        </w:rPr>
      </w:pPr>
      <w:r w:rsidRPr="00D80945">
        <w:rPr>
          <w:rFonts w:ascii="Arial" w:hAnsi="Arial" w:cs="Arial"/>
          <w:sz w:val="18"/>
          <w:szCs w:val="18"/>
        </w:rPr>
        <w:t>(To be used in conjunction</w:t>
      </w:r>
      <w:r w:rsidRPr="00D80945">
        <w:rPr>
          <w:rFonts w:ascii="Arial" w:hAnsi="Arial" w:cs="Arial"/>
          <w:b/>
          <w:sz w:val="18"/>
          <w:szCs w:val="18"/>
        </w:rPr>
        <w:t xml:space="preserve"> </w:t>
      </w:r>
      <w:r w:rsidRPr="00D80945">
        <w:rPr>
          <w:rFonts w:ascii="Arial" w:hAnsi="Arial" w:cs="Arial"/>
          <w:sz w:val="18"/>
          <w:szCs w:val="18"/>
        </w:rPr>
        <w:t xml:space="preserve">with </w:t>
      </w:r>
      <w:r w:rsidRPr="00D80945">
        <w:rPr>
          <w:rFonts w:ascii="Arial" w:hAnsi="Arial" w:cs="Arial"/>
          <w:b/>
          <w:color w:val="FF0000"/>
          <w:sz w:val="18"/>
          <w:szCs w:val="18"/>
        </w:rPr>
        <w:t>Standard 5.1</w:t>
      </w:r>
      <w:r w:rsidRPr="00D80945">
        <w:rPr>
          <w:rFonts w:ascii="Arial" w:hAnsi="Arial" w:cs="Arial"/>
          <w:b/>
          <w:sz w:val="18"/>
          <w:szCs w:val="18"/>
        </w:rPr>
        <w:t xml:space="preserve"> Consider product requirements.)</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237"/>
      </w:tblGrid>
      <w:tr w:rsidR="00E10391" w:rsidRPr="00F83B6B" w:rsidTr="00A66271">
        <w:trPr>
          <w:cantSplit/>
          <w:tblHeader/>
        </w:trPr>
        <w:tc>
          <w:tcPr>
            <w:tcW w:w="3686" w:type="dxa"/>
            <w:tcBorders>
              <w:top w:val="nil"/>
              <w:left w:val="nil"/>
              <w:right w:val="nil"/>
            </w:tcBorders>
          </w:tcPr>
          <w:p w:rsidR="00E10391" w:rsidRPr="00F83B6B" w:rsidRDefault="00E10391" w:rsidP="00A66271">
            <w:pPr>
              <w:spacing w:before="40" w:after="40"/>
              <w:ind w:left="567" w:hanging="567"/>
              <w:rPr>
                <w:rFonts w:ascii="Arial" w:hAnsi="Arial" w:cs="Arial"/>
                <w:b/>
                <w:sz w:val="18"/>
                <w:szCs w:val="18"/>
              </w:rPr>
            </w:pPr>
          </w:p>
        </w:tc>
        <w:tc>
          <w:tcPr>
            <w:tcW w:w="6237" w:type="dxa"/>
            <w:tcBorders>
              <w:top w:val="nil"/>
              <w:left w:val="nil"/>
              <w:right w:val="nil"/>
            </w:tcBorders>
          </w:tcPr>
          <w:p w:rsidR="00E10391" w:rsidRPr="00F83B6B" w:rsidRDefault="00E10391" w:rsidP="00A66271">
            <w:pPr>
              <w:spacing w:before="40" w:after="40"/>
              <w:ind w:left="284" w:hanging="284"/>
              <w:jc w:val="right"/>
              <w:rPr>
                <w:rFonts w:ascii="Arial" w:hAnsi="Arial" w:cs="Arial"/>
                <w:b/>
                <w:i/>
                <w:sz w:val="18"/>
                <w:szCs w:val="18"/>
              </w:rPr>
            </w:pPr>
          </w:p>
        </w:tc>
      </w:tr>
      <w:tr w:rsidR="00E10391" w:rsidRPr="00F83B6B" w:rsidTr="00A66271">
        <w:trPr>
          <w:cantSplit/>
          <w:tblHeader/>
        </w:trPr>
        <w:tc>
          <w:tcPr>
            <w:tcW w:w="3686" w:type="dxa"/>
            <w:tcBorders>
              <w:bottom w:val="single" w:sz="4" w:space="0" w:color="auto"/>
            </w:tcBorders>
            <w:shd w:val="clear" w:color="auto" w:fill="548DD4" w:themeFill="text2" w:themeFillTint="99"/>
          </w:tcPr>
          <w:p w:rsidR="00E10391" w:rsidRPr="00F83B6B" w:rsidRDefault="00E10391" w:rsidP="00186360">
            <w:pPr>
              <w:spacing w:before="40" w:after="40"/>
              <w:ind w:left="567" w:hanging="567"/>
              <w:rPr>
                <w:rFonts w:ascii="Arial" w:hAnsi="Arial" w:cs="Arial"/>
                <w:b/>
                <w:sz w:val="18"/>
                <w:szCs w:val="18"/>
              </w:rPr>
            </w:pPr>
            <w:r w:rsidRPr="00F83B6B">
              <w:rPr>
                <w:rFonts w:ascii="Arial" w:hAnsi="Arial" w:cs="Arial"/>
                <w:b/>
                <w:sz w:val="18"/>
                <w:szCs w:val="18"/>
              </w:rPr>
              <w:t xml:space="preserve">Performance </w:t>
            </w:r>
            <w:r w:rsidR="00186360">
              <w:rPr>
                <w:rFonts w:ascii="Arial" w:hAnsi="Arial" w:cs="Arial"/>
                <w:b/>
                <w:sz w:val="18"/>
                <w:szCs w:val="18"/>
              </w:rPr>
              <w:t>c</w:t>
            </w:r>
            <w:r w:rsidRPr="00F83B6B">
              <w:rPr>
                <w:rFonts w:ascii="Arial" w:hAnsi="Arial" w:cs="Arial"/>
                <w:b/>
                <w:sz w:val="18"/>
                <w:szCs w:val="18"/>
              </w:rPr>
              <w:t>riteria</w:t>
            </w:r>
          </w:p>
        </w:tc>
        <w:tc>
          <w:tcPr>
            <w:tcW w:w="6237" w:type="dxa"/>
            <w:tcBorders>
              <w:bottom w:val="single" w:sz="4" w:space="0" w:color="auto"/>
            </w:tcBorders>
            <w:shd w:val="clear" w:color="auto" w:fill="548DD4" w:themeFill="text2" w:themeFillTint="99"/>
          </w:tcPr>
          <w:p w:rsidR="00E10391" w:rsidRPr="00F83B6B" w:rsidRDefault="00E10391" w:rsidP="00186360">
            <w:pPr>
              <w:spacing w:before="40" w:after="40"/>
              <w:ind w:left="284" w:hanging="284"/>
              <w:rPr>
                <w:rFonts w:ascii="Arial" w:hAnsi="Arial" w:cs="Arial"/>
                <w:b/>
                <w:sz w:val="18"/>
                <w:szCs w:val="18"/>
              </w:rPr>
            </w:pPr>
            <w:r w:rsidRPr="00F83B6B">
              <w:rPr>
                <w:rFonts w:ascii="Arial" w:hAnsi="Arial" w:cs="Arial"/>
                <w:b/>
                <w:sz w:val="18"/>
                <w:szCs w:val="18"/>
              </w:rPr>
              <w:t xml:space="preserve">Evidence </w:t>
            </w:r>
            <w:r w:rsidR="00186360">
              <w:rPr>
                <w:rFonts w:ascii="Arial" w:hAnsi="Arial" w:cs="Arial"/>
                <w:b/>
                <w:sz w:val="18"/>
                <w:szCs w:val="18"/>
              </w:rPr>
              <w:t>e</w:t>
            </w:r>
            <w:r w:rsidRPr="00F83B6B">
              <w:rPr>
                <w:rFonts w:ascii="Arial" w:hAnsi="Arial" w:cs="Arial"/>
                <w:b/>
                <w:sz w:val="18"/>
                <w:szCs w:val="18"/>
              </w:rPr>
              <w:t>xamples</w:t>
            </w:r>
          </w:p>
        </w:tc>
      </w:tr>
      <w:tr w:rsidR="00E10391" w:rsidRPr="00F83B6B" w:rsidTr="00A66271">
        <w:trPr>
          <w:cantSplit/>
        </w:trPr>
        <w:tc>
          <w:tcPr>
            <w:tcW w:w="9923" w:type="dxa"/>
            <w:gridSpan w:val="2"/>
            <w:tcBorders>
              <w:bottom w:val="single" w:sz="4" w:space="0" w:color="auto"/>
            </w:tcBorders>
            <w:shd w:val="clear" w:color="auto" w:fill="FABF8F" w:themeFill="accent6" w:themeFillTint="99"/>
          </w:tcPr>
          <w:p w:rsidR="00E10391" w:rsidRPr="00F83B6B" w:rsidRDefault="00E10391" w:rsidP="00A66271">
            <w:pPr>
              <w:keepNext/>
              <w:spacing w:before="40" w:after="40"/>
              <w:rPr>
                <w:rFonts w:ascii="Arial" w:hAnsi="Arial" w:cs="Arial"/>
                <w:b/>
                <w:sz w:val="18"/>
                <w:szCs w:val="18"/>
              </w:rPr>
            </w:pPr>
            <w:r w:rsidRPr="00F83B6B">
              <w:rPr>
                <w:rFonts w:ascii="Arial" w:hAnsi="Arial" w:cs="Arial"/>
                <w:b/>
                <w:sz w:val="18"/>
                <w:szCs w:val="18"/>
              </w:rPr>
              <w:t>Element 1 – Assemble ingredients and materials</w:t>
            </w:r>
          </w:p>
        </w:tc>
      </w:tr>
      <w:tr w:rsidR="00E10391" w:rsidRPr="00F83B6B" w:rsidTr="00A66271">
        <w:trPr>
          <w:cantSplit/>
          <w:trHeight w:val="1244"/>
        </w:trPr>
        <w:tc>
          <w:tcPr>
            <w:tcW w:w="3686" w:type="dxa"/>
            <w:tcBorders>
              <w:bottom w:val="single" w:sz="4" w:space="0" w:color="auto"/>
            </w:tcBorders>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1</w:t>
            </w:r>
            <w:r w:rsidRPr="00F83B6B">
              <w:rPr>
                <w:rFonts w:ascii="Arial" w:hAnsi="Arial" w:cs="Arial"/>
                <w:sz w:val="18"/>
                <w:szCs w:val="18"/>
              </w:rPr>
              <w:tab/>
              <w:t>Selects ingredients of appropriate quality.</w:t>
            </w:r>
          </w:p>
        </w:tc>
        <w:tc>
          <w:tcPr>
            <w:tcW w:w="6237" w:type="dxa"/>
            <w:tcBorders>
              <w:bottom w:val="single" w:sz="4" w:space="0" w:color="auto"/>
            </w:tcBorders>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select ingredients of appropriate quality/standard for inclusion in products intended for human therapeutic </w:t>
            </w:r>
            <w:r>
              <w:rPr>
                <w:rFonts w:ascii="Arial" w:hAnsi="Arial" w:cs="Arial"/>
                <w:sz w:val="18"/>
                <w:szCs w:val="18"/>
              </w:rPr>
              <w:t>or veterinary</w:t>
            </w:r>
            <w:r w:rsidRPr="00F83B6B">
              <w:rPr>
                <w:rFonts w:ascii="Arial" w:hAnsi="Arial" w:cs="Arial"/>
                <w:sz w:val="18"/>
                <w:szCs w:val="18"/>
              </w:rPr>
              <w:t xml:space="preserve"> use (e.g. pharmaceutical grade, in date, stored according to storage advice on label, visually free of contamination and/or signs of degradation such as colour change, crystallisation or deliquescence).</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2</w:t>
            </w:r>
            <w:r w:rsidRPr="00F83B6B">
              <w:rPr>
                <w:rFonts w:ascii="Arial" w:hAnsi="Arial" w:cs="Arial"/>
                <w:sz w:val="18"/>
                <w:szCs w:val="18"/>
              </w:rPr>
              <w:tab/>
              <w:t>Selects ingredients and equipment accurately.</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select ingredients (form and strength) and final container that exactly match the descriptions on the worksheet.</w:t>
            </w:r>
          </w:p>
        </w:tc>
      </w:tr>
      <w:tr w:rsidR="00E10391" w:rsidRPr="00F83B6B" w:rsidTr="00A66271">
        <w:trPr>
          <w:cantSplit/>
        </w:trPr>
        <w:tc>
          <w:tcPr>
            <w:tcW w:w="3686" w:type="dxa"/>
            <w:tcBorders>
              <w:bottom w:val="single" w:sz="4" w:space="0" w:color="auto"/>
            </w:tcBorders>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3</w:t>
            </w:r>
            <w:r w:rsidRPr="00F83B6B">
              <w:rPr>
                <w:rFonts w:ascii="Arial" w:hAnsi="Arial" w:cs="Arial"/>
                <w:sz w:val="18"/>
                <w:szCs w:val="18"/>
              </w:rPr>
              <w:tab/>
              <w:t>Reduces the potential for other activities and/or materials to impede, cross contaminate or cause error in the preparation process.</w:t>
            </w:r>
          </w:p>
        </w:tc>
        <w:tc>
          <w:tcPr>
            <w:tcW w:w="6237" w:type="dxa"/>
            <w:tcBorders>
              <w:bottom w:val="single" w:sz="4" w:space="0" w:color="auto"/>
            </w:tcBorders>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organise an area of suitable size in the workplace </w:t>
            </w:r>
            <w:r>
              <w:rPr>
                <w:rFonts w:ascii="Arial" w:hAnsi="Arial" w:cs="Arial"/>
                <w:sz w:val="18"/>
                <w:szCs w:val="18"/>
              </w:rPr>
              <w:t>that provides for the segregation of compounding of one product from other products and from other professional activities, and containment of any risks posed to personnel, consumers and the environment</w:t>
            </w:r>
            <w:r w:rsidRPr="00F83B6B">
              <w:rPr>
                <w:rFonts w:ascii="Arial" w:hAnsi="Arial" w:cs="Arial"/>
                <w:sz w:val="18"/>
                <w:szCs w:val="18"/>
              </w:rPr>
              <w:t>.</w:t>
            </w:r>
          </w:p>
        </w:tc>
      </w:tr>
      <w:tr w:rsidR="00E10391" w:rsidRPr="00F83B6B" w:rsidTr="00A66271">
        <w:trPr>
          <w:cantSplit/>
        </w:trPr>
        <w:tc>
          <w:tcPr>
            <w:tcW w:w="9923" w:type="dxa"/>
            <w:gridSpan w:val="2"/>
            <w:tcBorders>
              <w:bottom w:val="single" w:sz="4" w:space="0" w:color="auto"/>
            </w:tcBorders>
            <w:shd w:val="clear" w:color="auto" w:fill="FABF8F" w:themeFill="accent6" w:themeFillTint="99"/>
          </w:tcPr>
          <w:p w:rsidR="00E10391" w:rsidRPr="00F83B6B" w:rsidRDefault="00E10391" w:rsidP="00A66271">
            <w:pPr>
              <w:spacing w:before="40" w:after="40"/>
              <w:rPr>
                <w:rFonts w:ascii="Arial" w:hAnsi="Arial" w:cs="Arial"/>
                <w:b/>
                <w:sz w:val="18"/>
                <w:szCs w:val="18"/>
              </w:rPr>
            </w:pPr>
            <w:r w:rsidRPr="00F83B6B">
              <w:rPr>
                <w:rFonts w:ascii="Arial" w:hAnsi="Arial" w:cs="Arial"/>
                <w:b/>
                <w:sz w:val="18"/>
                <w:szCs w:val="18"/>
              </w:rPr>
              <w:t xml:space="preserve">Element 2 – Apply compounding principles and techniques </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1</w:t>
            </w:r>
            <w:r w:rsidRPr="00F83B6B">
              <w:rPr>
                <w:rFonts w:ascii="Arial" w:hAnsi="Arial" w:cs="Arial"/>
                <w:sz w:val="18"/>
                <w:szCs w:val="18"/>
              </w:rPr>
              <w:tab/>
              <w:t>Measures quantities required according to the worksheet.</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accurately weigh and measure ingredients.</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2</w:t>
            </w:r>
            <w:r w:rsidRPr="00F83B6B">
              <w:rPr>
                <w:rFonts w:ascii="Arial" w:hAnsi="Arial" w:cs="Arial"/>
                <w:sz w:val="18"/>
                <w:szCs w:val="18"/>
              </w:rPr>
              <w:tab/>
              <w:t>Adopts a systematic process for combining ingredients that is consistent with sound pharmaceutical compounding practice.</w:t>
            </w:r>
          </w:p>
        </w:tc>
        <w:tc>
          <w:tcPr>
            <w:tcW w:w="6237" w:type="dxa"/>
            <w:shd w:val="clear" w:color="auto" w:fill="DBE5F1" w:themeFill="accent1" w:themeFillTint="33"/>
          </w:tcPr>
          <w:p w:rsidR="00E10391" w:rsidRDefault="00E10391" w:rsidP="00E10391">
            <w:pPr>
              <w:numPr>
                <w:ilvl w:val="0"/>
                <w:numId w:val="24"/>
              </w:numPr>
              <w:spacing w:before="40" w:after="40"/>
              <w:ind w:left="284" w:hanging="284"/>
              <w:rPr>
                <w:rFonts w:ascii="Arial" w:hAnsi="Arial" w:cs="Arial"/>
                <w:sz w:val="18"/>
                <w:szCs w:val="18"/>
              </w:rPr>
            </w:pPr>
            <w:r>
              <w:rPr>
                <w:rFonts w:ascii="Arial" w:hAnsi="Arial" w:cs="Arial"/>
                <w:sz w:val="18"/>
                <w:szCs w:val="18"/>
              </w:rPr>
              <w:t>Ability to demonstrate preparation techniques and use of equipment (e.g. grinding, mixing, blending</w:t>
            </w:r>
            <w:r w:rsidR="001D026C">
              <w:rPr>
                <w:rFonts w:ascii="Arial" w:hAnsi="Arial" w:cs="Arial"/>
                <w:sz w:val="18"/>
                <w:szCs w:val="18"/>
              </w:rPr>
              <w:t>)</w:t>
            </w:r>
          </w:p>
          <w:p w:rsidR="00E10391"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demonstrate </w:t>
            </w:r>
            <w:r>
              <w:rPr>
                <w:rFonts w:ascii="Arial" w:hAnsi="Arial" w:cs="Arial"/>
                <w:sz w:val="18"/>
                <w:szCs w:val="18"/>
              </w:rPr>
              <w:t xml:space="preserve">the </w:t>
            </w:r>
            <w:r w:rsidRPr="00F83B6B">
              <w:rPr>
                <w:rFonts w:ascii="Arial" w:hAnsi="Arial" w:cs="Arial"/>
                <w:sz w:val="18"/>
                <w:szCs w:val="18"/>
              </w:rPr>
              <w:t xml:space="preserve">use of equipment </w:t>
            </w:r>
            <w:r>
              <w:rPr>
                <w:rFonts w:ascii="Arial" w:hAnsi="Arial" w:cs="Arial"/>
                <w:sz w:val="18"/>
                <w:szCs w:val="18"/>
              </w:rPr>
              <w:t xml:space="preserve">and relevant complex compounding </w:t>
            </w:r>
            <w:r w:rsidRPr="00F83B6B">
              <w:rPr>
                <w:rFonts w:ascii="Arial" w:hAnsi="Arial" w:cs="Arial"/>
                <w:sz w:val="18"/>
                <w:szCs w:val="18"/>
              </w:rPr>
              <w:t xml:space="preserve">techniques </w:t>
            </w:r>
            <w:r>
              <w:rPr>
                <w:rFonts w:ascii="Arial" w:hAnsi="Arial" w:cs="Arial"/>
                <w:sz w:val="18"/>
                <w:szCs w:val="18"/>
              </w:rPr>
              <w:t>consistent with the range of product types prepared.</w:t>
            </w:r>
          </w:p>
          <w:p w:rsidR="00E10391" w:rsidRPr="00F83B6B" w:rsidRDefault="00E10391" w:rsidP="00E10391">
            <w:pPr>
              <w:numPr>
                <w:ilvl w:val="0"/>
                <w:numId w:val="24"/>
              </w:numPr>
              <w:spacing w:before="40" w:after="40"/>
              <w:ind w:left="284" w:hanging="284"/>
              <w:rPr>
                <w:rFonts w:ascii="Arial" w:hAnsi="Arial" w:cs="Arial"/>
                <w:sz w:val="18"/>
                <w:szCs w:val="18"/>
              </w:rPr>
            </w:pPr>
            <w:r>
              <w:rPr>
                <w:rFonts w:ascii="Arial" w:hAnsi="Arial" w:cs="Arial"/>
                <w:sz w:val="18"/>
                <w:szCs w:val="18"/>
              </w:rPr>
              <w:t>Ability to demonstrate a systematic technique for making a variety of pharmaceutical products, including complex compounded products.</w:t>
            </w:r>
          </w:p>
        </w:tc>
      </w:tr>
      <w:tr w:rsidR="00E10391" w:rsidRPr="00F83B6B" w:rsidTr="00A66271">
        <w:trPr>
          <w:cantSplit/>
        </w:trPr>
        <w:tc>
          <w:tcPr>
            <w:tcW w:w="3686" w:type="dxa"/>
            <w:tcBorders>
              <w:bottom w:val="single" w:sz="4" w:space="0" w:color="auto"/>
            </w:tcBorders>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lastRenderedPageBreak/>
              <w:t>3</w:t>
            </w:r>
            <w:r w:rsidRPr="00F83B6B">
              <w:rPr>
                <w:rFonts w:ascii="Arial" w:hAnsi="Arial" w:cs="Arial"/>
                <w:sz w:val="18"/>
                <w:szCs w:val="18"/>
              </w:rPr>
              <w:tab/>
              <w:t>Uses techniques that avoid contamination of the product.</w:t>
            </w:r>
          </w:p>
        </w:tc>
        <w:tc>
          <w:tcPr>
            <w:tcW w:w="6237" w:type="dxa"/>
            <w:tcBorders>
              <w:bottom w:val="single" w:sz="4" w:space="0" w:color="auto"/>
            </w:tcBorders>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demonstrate technique and personal hygiene measures </w:t>
            </w:r>
            <w:r>
              <w:rPr>
                <w:rFonts w:ascii="Arial" w:hAnsi="Arial" w:cs="Arial"/>
                <w:sz w:val="18"/>
                <w:szCs w:val="18"/>
              </w:rPr>
              <w:t xml:space="preserve">(e.g. hand washing, use of gloves, caps or gowns) </w:t>
            </w:r>
            <w:r w:rsidRPr="00F83B6B">
              <w:rPr>
                <w:rFonts w:ascii="Arial" w:hAnsi="Arial" w:cs="Arial"/>
                <w:sz w:val="18"/>
                <w:szCs w:val="18"/>
              </w:rPr>
              <w:t>that limit the opportunities for contamination of the product.</w:t>
            </w:r>
          </w:p>
        </w:tc>
      </w:tr>
    </w:tbl>
    <w:p w:rsidR="00E10391" w:rsidRPr="00F83B6B" w:rsidRDefault="00E10391" w:rsidP="00E10391">
      <w:pPr>
        <w:rPr>
          <w:rFonts w:ascii="Arial" w:hAnsi="Arial" w:cs="Arial"/>
          <w:sz w:val="18"/>
          <w:szCs w:val="18"/>
        </w:rPr>
      </w:pPr>
    </w:p>
    <w:p w:rsidR="00E10391" w:rsidRPr="00F83B6B" w:rsidRDefault="00E10391" w:rsidP="00E10391">
      <w:pPr>
        <w:pStyle w:val="Header"/>
        <w:widowControl w:val="0"/>
        <w:rPr>
          <w:rFonts w:ascii="Arial" w:hAnsi="Arial" w:cs="Arial"/>
          <w:sz w:val="18"/>
          <w:szCs w:val="18"/>
        </w:rPr>
      </w:pPr>
    </w:p>
    <w:p w:rsidR="00E10391" w:rsidRDefault="00E10391" w:rsidP="00E10391">
      <w:pPr>
        <w:spacing w:line="276" w:lineRule="auto"/>
        <w:rPr>
          <w:b/>
          <w:snapToGrid w:val="0"/>
          <w:color w:val="FF0000"/>
          <w:sz w:val="22"/>
          <w:szCs w:val="22"/>
        </w:rPr>
      </w:pPr>
      <w:r>
        <w:rPr>
          <w:color w:val="FF0000"/>
        </w:rPr>
        <w:br w:type="page"/>
      </w:r>
    </w:p>
    <w:p w:rsidR="00E10391" w:rsidRPr="00D80945" w:rsidRDefault="00E10391" w:rsidP="00E10391">
      <w:pPr>
        <w:pStyle w:val="Heading3"/>
        <w:rPr>
          <w:rFonts w:ascii="Arial" w:hAnsi="Arial" w:cs="Arial"/>
        </w:rPr>
      </w:pPr>
      <w:bookmarkStart w:id="27" w:name="_Toc377638249"/>
      <w:r w:rsidRPr="00D80945">
        <w:rPr>
          <w:rFonts w:ascii="Arial" w:hAnsi="Arial" w:cs="Arial"/>
          <w:color w:val="FF0000"/>
        </w:rPr>
        <w:lastRenderedPageBreak/>
        <w:t xml:space="preserve">Standard 5.3 </w:t>
      </w:r>
      <w:r w:rsidRPr="00D80945">
        <w:rPr>
          <w:rFonts w:ascii="Arial" w:hAnsi="Arial" w:cs="Arial"/>
        </w:rPr>
        <w:t>Aseptically prepare sterile drug products</w:t>
      </w:r>
      <w:bookmarkEnd w:id="27"/>
      <w:r w:rsidRPr="00D80945">
        <w:rPr>
          <w:rFonts w:ascii="Arial" w:hAnsi="Arial" w:cs="Arial"/>
        </w:rPr>
        <w:t xml:space="preserve"> </w:t>
      </w:r>
    </w:p>
    <w:p w:rsidR="00E10391" w:rsidRPr="00D80945" w:rsidRDefault="00E10391" w:rsidP="00E10391">
      <w:pPr>
        <w:rPr>
          <w:rFonts w:ascii="Arial" w:hAnsi="Arial" w:cs="Arial"/>
          <w:sz w:val="18"/>
          <w:szCs w:val="18"/>
        </w:rPr>
      </w:pPr>
      <w:r w:rsidRPr="00D80945">
        <w:rPr>
          <w:rFonts w:ascii="Arial" w:hAnsi="Arial" w:cs="Arial"/>
          <w:sz w:val="18"/>
          <w:szCs w:val="18"/>
        </w:rPr>
        <w:t>(To be used in conjunction with</w:t>
      </w:r>
      <w:r w:rsidRPr="00D80945">
        <w:rPr>
          <w:rFonts w:ascii="Arial" w:hAnsi="Arial" w:cs="Arial"/>
          <w:b/>
          <w:sz w:val="18"/>
          <w:szCs w:val="18"/>
        </w:rPr>
        <w:t xml:space="preserve"> </w:t>
      </w:r>
      <w:r w:rsidRPr="00D80945">
        <w:rPr>
          <w:rFonts w:ascii="Arial" w:hAnsi="Arial" w:cs="Arial"/>
          <w:b/>
          <w:color w:val="FF0000"/>
          <w:sz w:val="18"/>
          <w:szCs w:val="18"/>
        </w:rPr>
        <w:t>Standard 5.1</w:t>
      </w:r>
      <w:r w:rsidRPr="00D80945">
        <w:rPr>
          <w:rFonts w:ascii="Arial" w:hAnsi="Arial" w:cs="Arial"/>
          <w:b/>
          <w:sz w:val="18"/>
          <w:szCs w:val="18"/>
        </w:rPr>
        <w:t xml:space="preserve"> Consider product requirements</w:t>
      </w:r>
      <w:r w:rsidRPr="00D80945">
        <w:rPr>
          <w:rFonts w:ascii="Arial" w:hAnsi="Arial" w:cs="Arial"/>
          <w:sz w:val="18"/>
          <w:szCs w:val="18"/>
        </w:rPr>
        <w:t>.)</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237"/>
      </w:tblGrid>
      <w:tr w:rsidR="00E10391" w:rsidRPr="00F83B6B" w:rsidTr="00A66271">
        <w:trPr>
          <w:cantSplit/>
          <w:tblHeader/>
        </w:trPr>
        <w:tc>
          <w:tcPr>
            <w:tcW w:w="3686" w:type="dxa"/>
            <w:tcBorders>
              <w:top w:val="nil"/>
              <w:left w:val="nil"/>
              <w:right w:val="nil"/>
            </w:tcBorders>
          </w:tcPr>
          <w:p w:rsidR="00E10391" w:rsidRPr="00F83B6B" w:rsidRDefault="00E10391" w:rsidP="00A66271">
            <w:pPr>
              <w:keepNext/>
              <w:spacing w:before="40" w:after="40"/>
              <w:ind w:left="567" w:hanging="567"/>
              <w:rPr>
                <w:rFonts w:ascii="Arial" w:hAnsi="Arial" w:cs="Arial"/>
                <w:b/>
                <w:sz w:val="18"/>
                <w:szCs w:val="18"/>
              </w:rPr>
            </w:pPr>
          </w:p>
        </w:tc>
        <w:tc>
          <w:tcPr>
            <w:tcW w:w="6237" w:type="dxa"/>
            <w:tcBorders>
              <w:top w:val="nil"/>
              <w:left w:val="nil"/>
              <w:right w:val="nil"/>
            </w:tcBorders>
          </w:tcPr>
          <w:p w:rsidR="00E10391" w:rsidRPr="00F83B6B" w:rsidRDefault="00E10391" w:rsidP="00A66271">
            <w:pPr>
              <w:keepNext/>
              <w:spacing w:before="40" w:after="40"/>
              <w:ind w:left="284" w:hanging="284"/>
              <w:jc w:val="right"/>
              <w:rPr>
                <w:rFonts w:ascii="Arial" w:hAnsi="Arial" w:cs="Arial"/>
                <w:b/>
                <w:i/>
                <w:sz w:val="18"/>
                <w:szCs w:val="18"/>
              </w:rPr>
            </w:pPr>
          </w:p>
        </w:tc>
      </w:tr>
      <w:tr w:rsidR="00E10391" w:rsidRPr="00F83B6B" w:rsidTr="00A66271">
        <w:trPr>
          <w:cantSplit/>
          <w:tblHeader/>
        </w:trPr>
        <w:tc>
          <w:tcPr>
            <w:tcW w:w="3686" w:type="dxa"/>
            <w:tcBorders>
              <w:bottom w:val="single" w:sz="4" w:space="0" w:color="auto"/>
            </w:tcBorders>
            <w:shd w:val="clear" w:color="auto" w:fill="548DD4" w:themeFill="text2" w:themeFillTint="99"/>
          </w:tcPr>
          <w:p w:rsidR="00E10391" w:rsidRPr="00F83B6B" w:rsidRDefault="00E10391" w:rsidP="00186360">
            <w:pPr>
              <w:keepNext/>
              <w:spacing w:before="40" w:after="40"/>
              <w:ind w:left="567" w:hanging="567"/>
              <w:rPr>
                <w:rFonts w:ascii="Arial" w:hAnsi="Arial" w:cs="Arial"/>
                <w:b/>
                <w:sz w:val="18"/>
                <w:szCs w:val="18"/>
              </w:rPr>
            </w:pPr>
            <w:r w:rsidRPr="00F83B6B">
              <w:rPr>
                <w:rFonts w:ascii="Arial" w:hAnsi="Arial" w:cs="Arial"/>
                <w:b/>
                <w:sz w:val="18"/>
                <w:szCs w:val="18"/>
              </w:rPr>
              <w:t xml:space="preserve">Performance </w:t>
            </w:r>
            <w:r w:rsidR="00186360">
              <w:rPr>
                <w:rFonts w:ascii="Arial" w:hAnsi="Arial" w:cs="Arial"/>
                <w:b/>
                <w:sz w:val="18"/>
                <w:szCs w:val="18"/>
              </w:rPr>
              <w:t>c</w:t>
            </w:r>
            <w:r w:rsidRPr="00F83B6B">
              <w:rPr>
                <w:rFonts w:ascii="Arial" w:hAnsi="Arial" w:cs="Arial"/>
                <w:b/>
                <w:sz w:val="18"/>
                <w:szCs w:val="18"/>
              </w:rPr>
              <w:t>riteria</w:t>
            </w:r>
          </w:p>
        </w:tc>
        <w:tc>
          <w:tcPr>
            <w:tcW w:w="6237" w:type="dxa"/>
            <w:tcBorders>
              <w:bottom w:val="single" w:sz="4" w:space="0" w:color="auto"/>
            </w:tcBorders>
            <w:shd w:val="clear" w:color="auto" w:fill="548DD4" w:themeFill="text2" w:themeFillTint="99"/>
          </w:tcPr>
          <w:p w:rsidR="00E10391" w:rsidRPr="00F83B6B" w:rsidRDefault="00E10391" w:rsidP="00186360">
            <w:pPr>
              <w:keepNext/>
              <w:spacing w:before="40" w:after="40"/>
              <w:ind w:left="284" w:hanging="284"/>
              <w:rPr>
                <w:rFonts w:ascii="Arial" w:hAnsi="Arial" w:cs="Arial"/>
                <w:b/>
                <w:sz w:val="18"/>
                <w:szCs w:val="18"/>
              </w:rPr>
            </w:pPr>
            <w:r w:rsidRPr="00F83B6B">
              <w:rPr>
                <w:rFonts w:ascii="Arial" w:hAnsi="Arial" w:cs="Arial"/>
                <w:b/>
                <w:sz w:val="18"/>
                <w:szCs w:val="18"/>
              </w:rPr>
              <w:t xml:space="preserve">Evidence </w:t>
            </w:r>
            <w:r w:rsidR="00186360">
              <w:rPr>
                <w:rFonts w:ascii="Arial" w:hAnsi="Arial" w:cs="Arial"/>
                <w:b/>
                <w:sz w:val="18"/>
                <w:szCs w:val="18"/>
              </w:rPr>
              <w:t>e</w:t>
            </w:r>
            <w:r w:rsidR="00700731">
              <w:rPr>
                <w:rFonts w:ascii="Arial" w:hAnsi="Arial" w:cs="Arial"/>
                <w:b/>
                <w:sz w:val="18"/>
                <w:szCs w:val="18"/>
              </w:rPr>
              <w:t>xamples</w:t>
            </w:r>
          </w:p>
        </w:tc>
      </w:tr>
      <w:tr w:rsidR="00E10391" w:rsidRPr="00F83B6B" w:rsidTr="00A66271">
        <w:trPr>
          <w:cantSplit/>
        </w:trPr>
        <w:tc>
          <w:tcPr>
            <w:tcW w:w="9923" w:type="dxa"/>
            <w:gridSpan w:val="2"/>
            <w:tcBorders>
              <w:bottom w:val="single" w:sz="4" w:space="0" w:color="auto"/>
            </w:tcBorders>
            <w:shd w:val="clear" w:color="auto" w:fill="FABF8F" w:themeFill="accent6" w:themeFillTint="99"/>
          </w:tcPr>
          <w:p w:rsidR="00E10391" w:rsidRPr="00F83B6B" w:rsidRDefault="00E10391" w:rsidP="00A66271">
            <w:pPr>
              <w:keepNext/>
              <w:spacing w:before="40" w:after="40"/>
              <w:ind w:left="284" w:hanging="284"/>
              <w:rPr>
                <w:rFonts w:ascii="Arial" w:hAnsi="Arial" w:cs="Arial"/>
                <w:b/>
                <w:sz w:val="18"/>
                <w:szCs w:val="18"/>
              </w:rPr>
            </w:pPr>
            <w:r w:rsidRPr="00F83B6B">
              <w:rPr>
                <w:rFonts w:ascii="Arial" w:hAnsi="Arial" w:cs="Arial"/>
                <w:b/>
                <w:sz w:val="18"/>
                <w:szCs w:val="18"/>
              </w:rPr>
              <w:t>Element 1 – Understand the work environment and work practices</w:t>
            </w:r>
          </w:p>
        </w:tc>
      </w:tr>
      <w:tr w:rsidR="00E10391" w:rsidRPr="00F83B6B" w:rsidTr="00A66271">
        <w:trPr>
          <w:cantSplit/>
          <w:trHeight w:val="876"/>
        </w:trPr>
        <w:tc>
          <w:tcPr>
            <w:tcW w:w="3686" w:type="dxa"/>
            <w:shd w:val="clear" w:color="auto" w:fill="DBE5F1" w:themeFill="accent1" w:themeFillTint="33"/>
          </w:tcPr>
          <w:p w:rsidR="00E10391" w:rsidRPr="00F83B6B" w:rsidRDefault="00E10391" w:rsidP="001D026C">
            <w:pPr>
              <w:spacing w:before="40" w:after="40"/>
              <w:ind w:left="397" w:hanging="397"/>
              <w:rPr>
                <w:rFonts w:ascii="Arial" w:hAnsi="Arial" w:cs="Arial"/>
                <w:sz w:val="18"/>
                <w:szCs w:val="18"/>
              </w:rPr>
            </w:pPr>
            <w:r>
              <w:rPr>
                <w:rFonts w:ascii="Arial" w:hAnsi="Arial" w:cs="Arial"/>
                <w:sz w:val="18"/>
                <w:szCs w:val="18"/>
              </w:rPr>
              <w:t>1</w:t>
            </w:r>
            <w:r w:rsidRPr="00F83B6B">
              <w:rPr>
                <w:rFonts w:ascii="Arial" w:hAnsi="Arial" w:cs="Arial"/>
                <w:sz w:val="18"/>
                <w:szCs w:val="18"/>
              </w:rPr>
              <w:tab/>
            </w:r>
            <w:r>
              <w:rPr>
                <w:rFonts w:ascii="Arial" w:hAnsi="Arial" w:cs="Arial"/>
                <w:sz w:val="18"/>
                <w:szCs w:val="18"/>
              </w:rPr>
              <w:t>Understands the operation of a cleanroom environment.</w:t>
            </w:r>
          </w:p>
        </w:tc>
        <w:tc>
          <w:tcPr>
            <w:tcW w:w="6237" w:type="dxa"/>
            <w:shd w:val="clear" w:color="auto" w:fill="DBE5F1" w:themeFill="accent1" w:themeFillTint="33"/>
          </w:tcPr>
          <w:p w:rsidR="000D122B" w:rsidRDefault="00E10391">
            <w:pPr>
              <w:numPr>
                <w:ilvl w:val="0"/>
                <w:numId w:val="24"/>
              </w:numPr>
              <w:spacing w:before="40" w:after="40"/>
              <w:ind w:left="284" w:hanging="284"/>
              <w:rPr>
                <w:rFonts w:ascii="Arial" w:hAnsi="Arial" w:cs="Arial"/>
                <w:sz w:val="18"/>
                <w:szCs w:val="18"/>
              </w:rPr>
            </w:pPr>
            <w:r>
              <w:rPr>
                <w:rFonts w:ascii="Arial" w:hAnsi="Arial" w:cs="Arial"/>
                <w:sz w:val="18"/>
                <w:szCs w:val="18"/>
              </w:rPr>
              <w:t>Ability to describe the function of the cleanroom, including pressure differentials, airflow, use of High Efficiency Particulate Air (HEPA) filters and placement of the cabinet and other equipment.</w:t>
            </w:r>
          </w:p>
        </w:tc>
      </w:tr>
      <w:tr w:rsidR="00E10391" w:rsidRPr="00F83B6B" w:rsidTr="00A66271">
        <w:trPr>
          <w:cantSplit/>
          <w:trHeight w:val="876"/>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Pr>
                <w:rFonts w:ascii="Arial" w:hAnsi="Arial" w:cs="Arial"/>
                <w:sz w:val="18"/>
                <w:szCs w:val="18"/>
              </w:rPr>
              <w:t>2</w:t>
            </w:r>
            <w:r w:rsidRPr="00F83B6B">
              <w:rPr>
                <w:rFonts w:ascii="Arial" w:hAnsi="Arial" w:cs="Arial"/>
                <w:sz w:val="18"/>
                <w:szCs w:val="18"/>
              </w:rPr>
              <w:tab/>
            </w:r>
            <w:r>
              <w:rPr>
                <w:rFonts w:ascii="Arial" w:hAnsi="Arial" w:cs="Arial"/>
                <w:sz w:val="18"/>
                <w:szCs w:val="18"/>
              </w:rPr>
              <w:t>Understands the principles of aseptic dispensing in a HEPA filtered horizontal laminar airflow cabinet.</w:t>
            </w:r>
          </w:p>
        </w:tc>
        <w:tc>
          <w:tcPr>
            <w:tcW w:w="6237" w:type="dxa"/>
            <w:shd w:val="clear" w:color="auto" w:fill="DBE5F1" w:themeFill="accent1" w:themeFillTint="33"/>
          </w:tcPr>
          <w:p w:rsidR="00E10391" w:rsidRDefault="00E10391" w:rsidP="00E10391">
            <w:pPr>
              <w:numPr>
                <w:ilvl w:val="0"/>
                <w:numId w:val="24"/>
              </w:numPr>
              <w:spacing w:before="40" w:after="40"/>
              <w:ind w:left="284" w:hanging="284"/>
              <w:rPr>
                <w:rFonts w:ascii="Arial" w:hAnsi="Arial" w:cs="Arial"/>
                <w:sz w:val="18"/>
                <w:szCs w:val="18"/>
              </w:rPr>
            </w:pPr>
            <w:r>
              <w:rPr>
                <w:rFonts w:ascii="Arial" w:hAnsi="Arial" w:cs="Arial"/>
                <w:sz w:val="18"/>
                <w:szCs w:val="18"/>
              </w:rPr>
              <w:t>Ability to describe the basis for use of aseptic dispensing technique in a horizontal laminar airflow cabinet in a cleanroom.</w:t>
            </w:r>
          </w:p>
          <w:p w:rsidR="00E10391" w:rsidRPr="00F83B6B" w:rsidRDefault="00E10391" w:rsidP="00E10391">
            <w:pPr>
              <w:numPr>
                <w:ilvl w:val="0"/>
                <w:numId w:val="24"/>
              </w:numPr>
              <w:spacing w:before="40" w:after="40"/>
              <w:ind w:left="284" w:hanging="284"/>
              <w:rPr>
                <w:rFonts w:ascii="Arial" w:hAnsi="Arial" w:cs="Arial"/>
                <w:sz w:val="18"/>
                <w:szCs w:val="18"/>
              </w:rPr>
            </w:pPr>
            <w:r>
              <w:rPr>
                <w:rFonts w:ascii="Arial" w:hAnsi="Arial" w:cs="Arial"/>
                <w:sz w:val="18"/>
                <w:szCs w:val="18"/>
              </w:rPr>
              <w:t>Ability to differentiate and describe products that require aseptic dispensing to ensure sterility (e.g. TPN, narcotic and antibiotic infusions, eye drops and injections).</w:t>
            </w:r>
          </w:p>
        </w:tc>
      </w:tr>
      <w:tr w:rsidR="00E10391" w:rsidRPr="00F83B6B" w:rsidTr="00A66271">
        <w:trPr>
          <w:cantSplit/>
          <w:trHeight w:val="876"/>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3</w:t>
            </w:r>
            <w:r w:rsidRPr="00F83B6B">
              <w:rPr>
                <w:rFonts w:ascii="Arial" w:hAnsi="Arial" w:cs="Arial"/>
                <w:sz w:val="18"/>
                <w:szCs w:val="18"/>
              </w:rPr>
              <w:tab/>
              <w:t>Understands the issues important to the selection of correct equipment for aseptically prepared products.</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discuss issues (e.g. needle gauge,</w:t>
            </w:r>
            <w:r w:rsidR="00700731">
              <w:rPr>
                <w:rFonts w:ascii="Arial" w:hAnsi="Arial" w:cs="Arial"/>
                <w:sz w:val="18"/>
                <w:szCs w:val="18"/>
              </w:rPr>
              <w:t xml:space="preserve"> </w:t>
            </w:r>
            <w:r>
              <w:rPr>
                <w:rFonts w:ascii="Arial" w:hAnsi="Arial" w:cs="Arial"/>
                <w:sz w:val="18"/>
                <w:szCs w:val="18"/>
              </w:rPr>
              <w:t>minibag volume, types of plastic infusion bags,</w:t>
            </w:r>
            <w:r w:rsidRPr="00F83B6B">
              <w:rPr>
                <w:rFonts w:ascii="Arial" w:hAnsi="Arial" w:cs="Arial"/>
                <w:sz w:val="18"/>
                <w:szCs w:val="18"/>
              </w:rPr>
              <w:t xml:space="preserve"> luer lock syringes, sterilising and venting filters) relevant to correct selection of equipment for aseptic product preparation.</w:t>
            </w:r>
          </w:p>
        </w:tc>
      </w:tr>
      <w:tr w:rsidR="00E10391" w:rsidRPr="00F83B6B" w:rsidTr="00A66271">
        <w:trPr>
          <w:cantSplit/>
          <w:trHeight w:val="876"/>
        </w:trPr>
        <w:tc>
          <w:tcPr>
            <w:tcW w:w="3686" w:type="dxa"/>
            <w:shd w:val="clear" w:color="auto" w:fill="auto"/>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4</w:t>
            </w:r>
            <w:r w:rsidRPr="00F83B6B">
              <w:rPr>
                <w:rFonts w:ascii="Arial" w:hAnsi="Arial" w:cs="Arial"/>
                <w:sz w:val="18"/>
                <w:szCs w:val="18"/>
              </w:rPr>
              <w:tab/>
              <w:t>Participates in activities/programs intended to assure sound aseptic technique and the quality of aseptically prepared products.</w:t>
            </w:r>
          </w:p>
        </w:tc>
        <w:tc>
          <w:tcPr>
            <w:tcW w:w="6237" w:type="dxa"/>
            <w:shd w:val="clear" w:color="auto" w:fill="auto"/>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describe a validation/certification program for maintaining sound aseptic technique</w:t>
            </w:r>
            <w:r>
              <w:rPr>
                <w:rFonts w:ascii="Arial" w:hAnsi="Arial" w:cs="Arial"/>
                <w:sz w:val="18"/>
                <w:szCs w:val="18"/>
              </w:rPr>
              <w:t xml:space="preserve"> (e.g</w:t>
            </w:r>
            <w:r w:rsidRPr="00F83B6B">
              <w:rPr>
                <w:rFonts w:ascii="Arial" w:hAnsi="Arial" w:cs="Arial"/>
                <w:sz w:val="18"/>
                <w:szCs w:val="18"/>
              </w:rPr>
              <w:t>.</w:t>
            </w:r>
            <w:r>
              <w:rPr>
                <w:rFonts w:ascii="Arial" w:hAnsi="Arial" w:cs="Arial"/>
                <w:sz w:val="18"/>
                <w:szCs w:val="18"/>
              </w:rPr>
              <w:t xml:space="preserve"> validation of technique using media testing).</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demonstrate sound aseptic dispensing technique </w:t>
            </w:r>
            <w:r>
              <w:rPr>
                <w:rFonts w:ascii="Arial" w:hAnsi="Arial" w:cs="Arial"/>
                <w:sz w:val="18"/>
                <w:szCs w:val="18"/>
              </w:rPr>
              <w:t>for</w:t>
            </w:r>
            <w:r w:rsidRPr="00F83B6B">
              <w:rPr>
                <w:rFonts w:ascii="Arial" w:hAnsi="Arial" w:cs="Arial"/>
                <w:sz w:val="18"/>
                <w:szCs w:val="18"/>
              </w:rPr>
              <w:t xml:space="preserve"> </w:t>
            </w:r>
            <w:r>
              <w:rPr>
                <w:rFonts w:ascii="Arial" w:hAnsi="Arial" w:cs="Arial"/>
                <w:sz w:val="18"/>
                <w:szCs w:val="18"/>
              </w:rPr>
              <w:t>the types of sterile complex compounded products provided</w:t>
            </w:r>
            <w:r w:rsidRPr="00F83B6B">
              <w:rPr>
                <w:rFonts w:ascii="Arial" w:hAnsi="Arial" w:cs="Arial"/>
                <w:sz w:val="18"/>
                <w:szCs w:val="18"/>
              </w:rPr>
              <w:t>.</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describe the key features of a quality assurance program</w:t>
            </w:r>
            <w:r>
              <w:rPr>
                <w:rFonts w:ascii="Arial" w:hAnsi="Arial" w:cs="Arial"/>
                <w:sz w:val="18"/>
                <w:szCs w:val="18"/>
              </w:rPr>
              <w:t xml:space="preserve"> for aseptic preparation of compounded products</w:t>
            </w:r>
            <w:r w:rsidRPr="00F83B6B">
              <w:rPr>
                <w:rFonts w:ascii="Arial" w:hAnsi="Arial" w:cs="Arial"/>
                <w:sz w:val="18"/>
                <w:szCs w:val="18"/>
              </w:rPr>
              <w:t>.</w:t>
            </w:r>
          </w:p>
        </w:tc>
      </w:tr>
      <w:tr w:rsidR="00E10391" w:rsidRPr="00F83B6B" w:rsidTr="00A66271">
        <w:trPr>
          <w:cantSplit/>
        </w:trPr>
        <w:tc>
          <w:tcPr>
            <w:tcW w:w="9923" w:type="dxa"/>
            <w:gridSpan w:val="2"/>
            <w:tcBorders>
              <w:bottom w:val="single" w:sz="4" w:space="0" w:color="auto"/>
            </w:tcBorders>
            <w:shd w:val="clear" w:color="auto" w:fill="FABF8F" w:themeFill="accent6" w:themeFillTint="99"/>
          </w:tcPr>
          <w:p w:rsidR="00E10391" w:rsidRPr="00F83B6B" w:rsidRDefault="00E10391" w:rsidP="00A66271">
            <w:pPr>
              <w:spacing w:before="40" w:after="40"/>
              <w:ind w:left="284" w:hanging="284"/>
              <w:rPr>
                <w:rFonts w:ascii="Arial" w:hAnsi="Arial" w:cs="Arial"/>
                <w:b/>
                <w:sz w:val="18"/>
                <w:szCs w:val="18"/>
              </w:rPr>
            </w:pPr>
            <w:r w:rsidRPr="00F83B6B">
              <w:rPr>
                <w:rFonts w:ascii="Arial" w:hAnsi="Arial" w:cs="Arial"/>
                <w:b/>
                <w:sz w:val="18"/>
                <w:szCs w:val="18"/>
              </w:rPr>
              <w:t>Element 2 – Prepare and supply sterile products</w:t>
            </w:r>
          </w:p>
        </w:tc>
      </w:tr>
      <w:tr w:rsidR="00E10391" w:rsidRPr="00F83B6B" w:rsidTr="00A66271">
        <w:trPr>
          <w:cantSplit/>
        </w:trPr>
        <w:tc>
          <w:tcPr>
            <w:tcW w:w="3686" w:type="dxa"/>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1</w:t>
            </w:r>
            <w:r w:rsidRPr="00F83B6B">
              <w:rPr>
                <w:rFonts w:ascii="Arial" w:hAnsi="Arial" w:cs="Arial"/>
                <w:b/>
                <w:i/>
                <w:sz w:val="18"/>
                <w:szCs w:val="18"/>
              </w:rPr>
              <w:tab/>
            </w:r>
            <w:r w:rsidRPr="00F83B6B">
              <w:rPr>
                <w:rFonts w:ascii="Arial" w:hAnsi="Arial" w:cs="Arial"/>
                <w:sz w:val="18"/>
                <w:szCs w:val="18"/>
              </w:rPr>
              <w:t>Selects and assembles materials and equipment required for specific product.</w:t>
            </w:r>
          </w:p>
        </w:tc>
        <w:tc>
          <w:tcPr>
            <w:tcW w:w="6237" w:type="dxa"/>
          </w:tcPr>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describe the uses of different pieces of equipment used in aseptic dispensing (e.g. sterilising, venting and particulate filtration filters</w:t>
            </w:r>
            <w:r>
              <w:rPr>
                <w:rFonts w:ascii="Arial" w:hAnsi="Arial" w:cs="Arial"/>
                <w:sz w:val="18"/>
                <w:szCs w:val="18"/>
              </w:rPr>
              <w:t>, additive ports, minibag entry port closures</w:t>
            </w:r>
            <w:r w:rsidRPr="00F83B6B">
              <w:rPr>
                <w:rFonts w:ascii="Arial" w:hAnsi="Arial" w:cs="Arial"/>
                <w:sz w:val="18"/>
                <w:szCs w:val="18"/>
              </w:rPr>
              <w:t>).</w:t>
            </w:r>
          </w:p>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 xml:space="preserve">Ability to correctly assemble all materials required to </w:t>
            </w:r>
            <w:r>
              <w:rPr>
                <w:rFonts w:ascii="Arial" w:hAnsi="Arial" w:cs="Arial"/>
                <w:sz w:val="18"/>
                <w:szCs w:val="18"/>
              </w:rPr>
              <w:t xml:space="preserve">aseptically </w:t>
            </w:r>
            <w:r w:rsidRPr="00F83B6B">
              <w:rPr>
                <w:rFonts w:ascii="Arial" w:hAnsi="Arial" w:cs="Arial"/>
                <w:sz w:val="18"/>
                <w:szCs w:val="18"/>
              </w:rPr>
              <w:t xml:space="preserve">prepare </w:t>
            </w:r>
            <w:r>
              <w:rPr>
                <w:rFonts w:ascii="Arial" w:hAnsi="Arial" w:cs="Arial"/>
                <w:sz w:val="18"/>
                <w:szCs w:val="18"/>
              </w:rPr>
              <w:t>complex compounded products.</w:t>
            </w:r>
          </w:p>
        </w:tc>
      </w:tr>
      <w:tr w:rsidR="00E10391" w:rsidRPr="00F83B6B" w:rsidTr="00A66271">
        <w:trPr>
          <w:cantSplit/>
        </w:trPr>
        <w:tc>
          <w:tcPr>
            <w:tcW w:w="3686" w:type="dxa"/>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2</w:t>
            </w:r>
            <w:r w:rsidRPr="00F83B6B">
              <w:rPr>
                <w:rFonts w:ascii="Arial" w:hAnsi="Arial" w:cs="Arial"/>
                <w:sz w:val="18"/>
                <w:szCs w:val="18"/>
              </w:rPr>
              <w:tab/>
              <w:t>Uses appropriate scrub and gowning techniques before entering the cleanroom.</w:t>
            </w:r>
          </w:p>
        </w:tc>
        <w:tc>
          <w:tcPr>
            <w:tcW w:w="6237" w:type="dxa"/>
          </w:tcPr>
          <w:p w:rsidR="00E10391" w:rsidRPr="00F83B6B" w:rsidRDefault="00E10391" w:rsidP="00F0165E">
            <w:pPr>
              <w:numPr>
                <w:ilvl w:val="0"/>
                <w:numId w:val="24"/>
              </w:numPr>
              <w:spacing w:before="40" w:after="40"/>
              <w:ind w:left="284"/>
              <w:rPr>
                <w:rFonts w:ascii="Arial" w:hAnsi="Arial" w:cs="Arial"/>
                <w:sz w:val="18"/>
                <w:szCs w:val="18"/>
              </w:rPr>
            </w:pPr>
            <w:r w:rsidRPr="00F83B6B">
              <w:rPr>
                <w:rFonts w:ascii="Arial" w:hAnsi="Arial" w:cs="Arial"/>
                <w:sz w:val="18"/>
                <w:szCs w:val="18"/>
              </w:rPr>
              <w:t>Ability to demonstrate correct scrub and gowning technique</w:t>
            </w:r>
            <w:r>
              <w:rPr>
                <w:rFonts w:ascii="Arial" w:hAnsi="Arial" w:cs="Arial"/>
                <w:sz w:val="18"/>
                <w:szCs w:val="18"/>
              </w:rPr>
              <w:t xml:space="preserve"> (e.g. by </w:t>
            </w:r>
            <w:r w:rsidR="00F0165E">
              <w:rPr>
                <w:rFonts w:ascii="Arial" w:hAnsi="Arial" w:cs="Arial"/>
                <w:sz w:val="18"/>
                <w:szCs w:val="18"/>
              </w:rPr>
              <w:t>ensuring</w:t>
            </w:r>
            <w:r>
              <w:rPr>
                <w:rFonts w:ascii="Arial" w:hAnsi="Arial" w:cs="Arial"/>
                <w:sz w:val="18"/>
                <w:szCs w:val="18"/>
              </w:rPr>
              <w:t xml:space="preserve"> maintenance of sterility of gloves during gowning).</w:t>
            </w:r>
          </w:p>
        </w:tc>
      </w:tr>
      <w:tr w:rsidR="00E10391" w:rsidRPr="00F83B6B" w:rsidTr="00A66271">
        <w:trPr>
          <w:cantSplit/>
          <w:trHeight w:val="643"/>
        </w:trPr>
        <w:tc>
          <w:tcPr>
            <w:tcW w:w="3686" w:type="dxa"/>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3</w:t>
            </w:r>
            <w:r w:rsidRPr="00F83B6B">
              <w:rPr>
                <w:rFonts w:ascii="Arial" w:hAnsi="Arial" w:cs="Arial"/>
                <w:b/>
                <w:i/>
                <w:sz w:val="18"/>
                <w:szCs w:val="18"/>
              </w:rPr>
              <w:tab/>
            </w:r>
            <w:r w:rsidRPr="00F83B6B">
              <w:rPr>
                <w:rFonts w:ascii="Arial" w:hAnsi="Arial" w:cs="Arial"/>
                <w:sz w:val="18"/>
                <w:szCs w:val="18"/>
              </w:rPr>
              <w:t>Uses appropriate setup and manipulative technique for aseptic preparation of products in a laminar airflow cabinet.</w:t>
            </w:r>
          </w:p>
        </w:tc>
        <w:tc>
          <w:tcPr>
            <w:tcW w:w="6237" w:type="dxa"/>
          </w:tcPr>
          <w:p w:rsidR="001E5FDC" w:rsidRDefault="00E10391" w:rsidP="001E5FDC">
            <w:pPr>
              <w:numPr>
                <w:ilvl w:val="0"/>
                <w:numId w:val="24"/>
              </w:numPr>
              <w:spacing w:before="40" w:after="40"/>
              <w:ind w:left="284"/>
              <w:rPr>
                <w:rFonts w:ascii="Arial" w:hAnsi="Arial" w:cs="Arial"/>
                <w:sz w:val="18"/>
                <w:szCs w:val="18"/>
              </w:rPr>
            </w:pPr>
            <w:r w:rsidRPr="00F83B6B">
              <w:rPr>
                <w:rFonts w:ascii="Arial" w:hAnsi="Arial" w:cs="Arial"/>
                <w:sz w:val="18"/>
                <w:szCs w:val="18"/>
              </w:rPr>
              <w:t xml:space="preserve">Ability to demonstrate correct equipment setup and aseptic dispensing technique for preparation of sterile </w:t>
            </w:r>
            <w:r>
              <w:rPr>
                <w:rFonts w:ascii="Arial" w:hAnsi="Arial" w:cs="Arial"/>
                <w:sz w:val="18"/>
                <w:szCs w:val="18"/>
              </w:rPr>
              <w:t xml:space="preserve">compounded </w:t>
            </w:r>
            <w:r w:rsidRPr="00F83B6B">
              <w:rPr>
                <w:rFonts w:ascii="Arial" w:hAnsi="Arial" w:cs="Arial"/>
                <w:sz w:val="18"/>
                <w:szCs w:val="18"/>
              </w:rPr>
              <w:t>products in a laminar airflow cabinet</w:t>
            </w:r>
            <w:r>
              <w:rPr>
                <w:rFonts w:ascii="Arial" w:hAnsi="Arial" w:cs="Arial"/>
                <w:sz w:val="18"/>
                <w:szCs w:val="18"/>
              </w:rPr>
              <w:t xml:space="preserve"> (e.g. by media fill testing of prepared products).</w:t>
            </w:r>
          </w:p>
        </w:tc>
      </w:tr>
      <w:tr w:rsidR="00E10391" w:rsidRPr="00F83B6B" w:rsidTr="00A66271">
        <w:trPr>
          <w:cantSplit/>
          <w:trHeight w:val="643"/>
        </w:trPr>
        <w:tc>
          <w:tcPr>
            <w:tcW w:w="3686" w:type="dxa"/>
          </w:tcPr>
          <w:p w:rsidR="00E10391" w:rsidRPr="00F83B6B" w:rsidRDefault="00E10391" w:rsidP="00A66271">
            <w:pPr>
              <w:spacing w:before="40" w:after="40"/>
              <w:ind w:left="397" w:hanging="397"/>
              <w:rPr>
                <w:rFonts w:ascii="Arial" w:hAnsi="Arial" w:cs="Arial"/>
                <w:b/>
                <w:i/>
                <w:sz w:val="18"/>
                <w:szCs w:val="18"/>
              </w:rPr>
            </w:pPr>
            <w:r w:rsidRPr="00F83B6B">
              <w:rPr>
                <w:rFonts w:ascii="Arial" w:hAnsi="Arial" w:cs="Arial"/>
                <w:sz w:val="18"/>
                <w:szCs w:val="18"/>
              </w:rPr>
              <w:t>4</w:t>
            </w:r>
            <w:r w:rsidRPr="00F83B6B">
              <w:rPr>
                <w:rFonts w:ascii="Arial" w:hAnsi="Arial" w:cs="Arial"/>
                <w:b/>
                <w:i/>
                <w:sz w:val="18"/>
                <w:szCs w:val="18"/>
              </w:rPr>
              <w:tab/>
            </w:r>
            <w:r w:rsidRPr="00F83B6B">
              <w:rPr>
                <w:rFonts w:ascii="Arial" w:hAnsi="Arial" w:cs="Arial"/>
                <w:sz w:val="18"/>
                <w:szCs w:val="18"/>
              </w:rPr>
              <w:t>Complies with local policies and procedures for cleaning the cabinets between products and at the end of work sessions</w:t>
            </w:r>
            <w:r w:rsidRPr="00F83B6B">
              <w:rPr>
                <w:rFonts w:ascii="Arial" w:hAnsi="Arial" w:cs="Arial"/>
                <w:b/>
                <w:i/>
                <w:sz w:val="18"/>
                <w:szCs w:val="18"/>
              </w:rPr>
              <w:t xml:space="preserve">. </w:t>
            </w:r>
          </w:p>
        </w:tc>
        <w:tc>
          <w:tcPr>
            <w:tcW w:w="6237" w:type="dxa"/>
          </w:tcPr>
          <w:p w:rsidR="001E5FDC" w:rsidRDefault="00E10391" w:rsidP="001E5FDC">
            <w:pPr>
              <w:numPr>
                <w:ilvl w:val="0"/>
                <w:numId w:val="24"/>
              </w:numPr>
              <w:spacing w:before="40" w:after="40"/>
              <w:ind w:left="284"/>
              <w:rPr>
                <w:rFonts w:ascii="Arial" w:hAnsi="Arial" w:cs="Arial"/>
                <w:sz w:val="18"/>
                <w:szCs w:val="18"/>
              </w:rPr>
            </w:pPr>
            <w:r w:rsidRPr="00F83B6B">
              <w:rPr>
                <w:rFonts w:ascii="Arial" w:hAnsi="Arial" w:cs="Arial"/>
                <w:sz w:val="18"/>
                <w:szCs w:val="18"/>
              </w:rPr>
              <w:t>Ability to describe policies and procedures applicable to maintaining the operation and cleanliness of the laminar airflow cabinet.</w:t>
            </w:r>
          </w:p>
        </w:tc>
      </w:tr>
      <w:tr w:rsidR="00E10391" w:rsidRPr="00F83B6B" w:rsidTr="00A66271">
        <w:trPr>
          <w:cantSplit/>
          <w:trHeight w:val="643"/>
        </w:trPr>
        <w:tc>
          <w:tcPr>
            <w:tcW w:w="3686" w:type="dxa"/>
          </w:tcPr>
          <w:p w:rsidR="00E10391" w:rsidRPr="00F83B6B" w:rsidRDefault="00E10391" w:rsidP="00A66271">
            <w:pPr>
              <w:spacing w:before="40" w:after="40"/>
              <w:ind w:left="397" w:hanging="397"/>
              <w:rPr>
                <w:rFonts w:ascii="Arial" w:hAnsi="Arial" w:cs="Arial"/>
                <w:b/>
                <w:i/>
                <w:sz w:val="18"/>
                <w:szCs w:val="18"/>
              </w:rPr>
            </w:pPr>
            <w:r w:rsidRPr="00F83B6B">
              <w:rPr>
                <w:rFonts w:ascii="Arial" w:hAnsi="Arial" w:cs="Arial"/>
                <w:sz w:val="18"/>
                <w:szCs w:val="18"/>
              </w:rPr>
              <w:t>5</w:t>
            </w:r>
            <w:r w:rsidRPr="00F83B6B">
              <w:rPr>
                <w:rFonts w:ascii="Arial" w:hAnsi="Arial" w:cs="Arial"/>
                <w:sz w:val="18"/>
                <w:szCs w:val="18"/>
              </w:rPr>
              <w:tab/>
              <w:t>Maintains the integrity of the cleanroom environment.</w:t>
            </w:r>
          </w:p>
        </w:tc>
        <w:tc>
          <w:tcPr>
            <w:tcW w:w="6237" w:type="dxa"/>
          </w:tcPr>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describe procedures for transfer of products and materials between the cleanroom and general work areas.</w:t>
            </w:r>
          </w:p>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describe work practices intended to maintain cleanroom integrity</w:t>
            </w:r>
            <w:r>
              <w:rPr>
                <w:rFonts w:ascii="Arial" w:hAnsi="Arial" w:cs="Arial"/>
                <w:sz w:val="18"/>
                <w:szCs w:val="18"/>
              </w:rPr>
              <w:t>, including the correct and safe disposal of consumables and sharps</w:t>
            </w:r>
            <w:r w:rsidRPr="00F83B6B">
              <w:rPr>
                <w:rFonts w:ascii="Arial" w:hAnsi="Arial" w:cs="Arial"/>
                <w:sz w:val="18"/>
                <w:szCs w:val="18"/>
              </w:rPr>
              <w:t>.</w:t>
            </w:r>
          </w:p>
        </w:tc>
      </w:tr>
      <w:tr w:rsidR="00E10391" w:rsidRPr="00F83B6B" w:rsidTr="00A66271">
        <w:trPr>
          <w:cantSplit/>
        </w:trPr>
        <w:tc>
          <w:tcPr>
            <w:tcW w:w="3686" w:type="dxa"/>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6</w:t>
            </w:r>
            <w:r w:rsidRPr="00F83B6B">
              <w:rPr>
                <w:rFonts w:ascii="Arial" w:hAnsi="Arial" w:cs="Arial"/>
                <w:sz w:val="18"/>
                <w:szCs w:val="18"/>
              </w:rPr>
              <w:tab/>
              <w:t>Contributes to maintenance of an audit trail on all ingredients used and on final products.</w:t>
            </w:r>
          </w:p>
        </w:tc>
        <w:tc>
          <w:tcPr>
            <w:tcW w:w="6237" w:type="dxa"/>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describe the way in which records support maintenance of an audit trail on ingredients and final products.</w:t>
            </w:r>
          </w:p>
        </w:tc>
      </w:tr>
      <w:tr w:rsidR="00E10391" w:rsidRPr="00F83B6B" w:rsidTr="00A66271">
        <w:trPr>
          <w:cantSplit/>
          <w:trHeight w:val="794"/>
        </w:trPr>
        <w:tc>
          <w:tcPr>
            <w:tcW w:w="3686" w:type="dxa"/>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7</w:t>
            </w:r>
            <w:r w:rsidRPr="00F83B6B">
              <w:rPr>
                <w:rFonts w:ascii="Arial" w:hAnsi="Arial" w:cs="Arial"/>
                <w:sz w:val="18"/>
                <w:szCs w:val="18"/>
              </w:rPr>
              <w:tab/>
              <w:t>Provides advice to others on the correct use/application of aseptically prepared products.</w:t>
            </w:r>
          </w:p>
        </w:tc>
        <w:tc>
          <w:tcPr>
            <w:tcW w:w="6237" w:type="dxa"/>
          </w:tcPr>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 xml:space="preserve">Ability to describe how aseptically prepared products should be </w:t>
            </w:r>
            <w:r>
              <w:rPr>
                <w:rFonts w:ascii="Arial" w:hAnsi="Arial" w:cs="Arial"/>
                <w:sz w:val="18"/>
                <w:szCs w:val="18"/>
              </w:rPr>
              <w:t>used</w:t>
            </w:r>
            <w:r w:rsidRPr="00F83B6B">
              <w:rPr>
                <w:rFonts w:ascii="Arial" w:hAnsi="Arial" w:cs="Arial"/>
                <w:sz w:val="18"/>
                <w:szCs w:val="18"/>
              </w:rPr>
              <w:t xml:space="preserve"> to limit the opportunity for product contamination.</w:t>
            </w:r>
          </w:p>
        </w:tc>
      </w:tr>
    </w:tbl>
    <w:p w:rsidR="00E10391" w:rsidRPr="00F83B6B" w:rsidRDefault="00E10391" w:rsidP="00E10391">
      <w:pPr>
        <w:rPr>
          <w:rFonts w:ascii="Arial" w:hAnsi="Arial" w:cs="Arial"/>
          <w:sz w:val="18"/>
          <w:szCs w:val="18"/>
        </w:rPr>
      </w:pPr>
    </w:p>
    <w:p w:rsidR="00E10391" w:rsidRDefault="00E10391" w:rsidP="00E10391">
      <w:pPr>
        <w:spacing w:line="276" w:lineRule="auto"/>
        <w:rPr>
          <w:b/>
          <w:snapToGrid w:val="0"/>
          <w:color w:val="FF0000"/>
          <w:sz w:val="22"/>
          <w:szCs w:val="22"/>
        </w:rPr>
      </w:pPr>
      <w:r>
        <w:rPr>
          <w:color w:val="FF0000"/>
        </w:rPr>
        <w:br w:type="page"/>
      </w:r>
    </w:p>
    <w:p w:rsidR="00E10391" w:rsidRPr="00D80945" w:rsidRDefault="00E10391" w:rsidP="00E10391">
      <w:pPr>
        <w:pStyle w:val="Heading3"/>
        <w:rPr>
          <w:rFonts w:ascii="Arial" w:hAnsi="Arial" w:cs="Arial"/>
        </w:rPr>
      </w:pPr>
      <w:bookmarkStart w:id="28" w:name="_Toc377638250"/>
      <w:r w:rsidRPr="00D80945">
        <w:rPr>
          <w:rFonts w:ascii="Arial" w:hAnsi="Arial" w:cs="Arial"/>
          <w:color w:val="FF0000"/>
        </w:rPr>
        <w:lastRenderedPageBreak/>
        <w:t>Standard 5.4</w:t>
      </w:r>
      <w:r w:rsidRPr="00D80945">
        <w:rPr>
          <w:rFonts w:ascii="Arial" w:hAnsi="Arial" w:cs="Arial"/>
        </w:rPr>
        <w:t xml:space="preserve"> Prepare cytotoxic drug products</w:t>
      </w:r>
      <w:bookmarkEnd w:id="28"/>
      <w:r w:rsidRPr="00D80945">
        <w:rPr>
          <w:rFonts w:ascii="Arial" w:hAnsi="Arial" w:cs="Arial"/>
        </w:rPr>
        <w:t xml:space="preserve"> </w:t>
      </w:r>
    </w:p>
    <w:p w:rsidR="00E10391" w:rsidRPr="00D80945" w:rsidRDefault="00E10391" w:rsidP="00E10391">
      <w:pPr>
        <w:pStyle w:val="ListParagraph"/>
        <w:ind w:left="0"/>
        <w:rPr>
          <w:rFonts w:cs="Arial"/>
          <w:sz w:val="18"/>
          <w:szCs w:val="18"/>
        </w:rPr>
      </w:pPr>
      <w:r w:rsidRPr="00D80945">
        <w:rPr>
          <w:rFonts w:cs="Arial"/>
          <w:sz w:val="18"/>
          <w:szCs w:val="18"/>
        </w:rPr>
        <w:t>(To be used in conjunction with</w:t>
      </w:r>
      <w:r w:rsidRPr="00D80945">
        <w:rPr>
          <w:rFonts w:cs="Arial"/>
          <w:b/>
          <w:sz w:val="18"/>
          <w:szCs w:val="18"/>
        </w:rPr>
        <w:t xml:space="preserve"> </w:t>
      </w:r>
      <w:r w:rsidRPr="00D80945">
        <w:rPr>
          <w:rFonts w:cs="Arial"/>
          <w:b/>
          <w:color w:val="FF0000"/>
          <w:sz w:val="18"/>
          <w:szCs w:val="18"/>
        </w:rPr>
        <w:t>Standard 5.1</w:t>
      </w:r>
      <w:r w:rsidRPr="00D80945">
        <w:rPr>
          <w:rFonts w:cs="Arial"/>
          <w:b/>
          <w:sz w:val="18"/>
          <w:szCs w:val="18"/>
        </w:rPr>
        <w:t xml:space="preserve"> Consider product requirements</w:t>
      </w:r>
      <w:r w:rsidRPr="00D80945">
        <w:rPr>
          <w:rFonts w:cs="Arial"/>
          <w:sz w:val="18"/>
          <w:szCs w:val="18"/>
        </w:rPr>
        <w:t>.)</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237"/>
      </w:tblGrid>
      <w:tr w:rsidR="00E10391" w:rsidRPr="00F83B6B" w:rsidTr="00A66271">
        <w:trPr>
          <w:cantSplit/>
          <w:tblHeader/>
        </w:trPr>
        <w:tc>
          <w:tcPr>
            <w:tcW w:w="3686" w:type="dxa"/>
            <w:tcBorders>
              <w:top w:val="nil"/>
              <w:left w:val="nil"/>
              <w:right w:val="nil"/>
            </w:tcBorders>
          </w:tcPr>
          <w:p w:rsidR="00E10391" w:rsidRPr="00F83B6B" w:rsidRDefault="00E10391" w:rsidP="00A66271">
            <w:pPr>
              <w:spacing w:after="60"/>
              <w:ind w:left="567" w:hanging="567"/>
              <w:rPr>
                <w:rFonts w:ascii="Arial" w:hAnsi="Arial" w:cs="Arial"/>
                <w:b/>
                <w:sz w:val="18"/>
                <w:szCs w:val="18"/>
              </w:rPr>
            </w:pPr>
          </w:p>
        </w:tc>
        <w:tc>
          <w:tcPr>
            <w:tcW w:w="6237" w:type="dxa"/>
            <w:tcBorders>
              <w:top w:val="nil"/>
              <w:left w:val="nil"/>
              <w:right w:val="nil"/>
            </w:tcBorders>
          </w:tcPr>
          <w:p w:rsidR="00E10391" w:rsidRPr="00F83B6B" w:rsidRDefault="00E10391" w:rsidP="00A66271">
            <w:pPr>
              <w:spacing w:before="40" w:after="40"/>
              <w:ind w:left="284" w:hanging="284"/>
              <w:jc w:val="right"/>
              <w:rPr>
                <w:rFonts w:ascii="Arial" w:hAnsi="Arial" w:cs="Arial"/>
                <w:b/>
                <w:i/>
                <w:sz w:val="18"/>
                <w:szCs w:val="18"/>
              </w:rPr>
            </w:pPr>
          </w:p>
        </w:tc>
      </w:tr>
      <w:tr w:rsidR="00E10391" w:rsidRPr="00F83B6B" w:rsidTr="00A66271">
        <w:trPr>
          <w:cantSplit/>
          <w:tblHeader/>
        </w:trPr>
        <w:tc>
          <w:tcPr>
            <w:tcW w:w="3686" w:type="dxa"/>
            <w:tcBorders>
              <w:bottom w:val="single" w:sz="4" w:space="0" w:color="auto"/>
            </w:tcBorders>
            <w:shd w:val="clear" w:color="auto" w:fill="548DD4" w:themeFill="text2" w:themeFillTint="99"/>
          </w:tcPr>
          <w:p w:rsidR="00E10391" w:rsidRPr="00F83B6B" w:rsidRDefault="00E10391" w:rsidP="00186360">
            <w:pPr>
              <w:spacing w:before="60" w:after="60"/>
              <w:ind w:left="567" w:hanging="567"/>
              <w:rPr>
                <w:rFonts w:ascii="Arial" w:hAnsi="Arial" w:cs="Arial"/>
                <w:b/>
                <w:sz w:val="18"/>
                <w:szCs w:val="18"/>
              </w:rPr>
            </w:pPr>
            <w:r w:rsidRPr="00F83B6B">
              <w:rPr>
                <w:rFonts w:ascii="Arial" w:hAnsi="Arial" w:cs="Arial"/>
                <w:b/>
                <w:sz w:val="18"/>
                <w:szCs w:val="18"/>
              </w:rPr>
              <w:t xml:space="preserve">Performance </w:t>
            </w:r>
            <w:r w:rsidR="00186360">
              <w:rPr>
                <w:rFonts w:ascii="Arial" w:hAnsi="Arial" w:cs="Arial"/>
                <w:b/>
                <w:sz w:val="18"/>
                <w:szCs w:val="18"/>
              </w:rPr>
              <w:t>c</w:t>
            </w:r>
            <w:r w:rsidRPr="00F83B6B">
              <w:rPr>
                <w:rFonts w:ascii="Arial" w:hAnsi="Arial" w:cs="Arial"/>
                <w:b/>
                <w:sz w:val="18"/>
                <w:szCs w:val="18"/>
              </w:rPr>
              <w:t>riteria</w:t>
            </w:r>
          </w:p>
        </w:tc>
        <w:tc>
          <w:tcPr>
            <w:tcW w:w="6237" w:type="dxa"/>
            <w:tcBorders>
              <w:bottom w:val="single" w:sz="4" w:space="0" w:color="auto"/>
            </w:tcBorders>
            <w:shd w:val="clear" w:color="auto" w:fill="548DD4" w:themeFill="text2" w:themeFillTint="99"/>
          </w:tcPr>
          <w:p w:rsidR="00E10391" w:rsidRPr="00F83B6B" w:rsidRDefault="00E10391" w:rsidP="00186360">
            <w:pPr>
              <w:spacing w:before="40" w:after="40"/>
              <w:ind w:left="284" w:hanging="284"/>
              <w:contextualSpacing/>
              <w:rPr>
                <w:rFonts w:ascii="Arial" w:hAnsi="Arial" w:cs="Arial"/>
                <w:b/>
                <w:sz w:val="18"/>
                <w:szCs w:val="18"/>
              </w:rPr>
            </w:pPr>
            <w:r w:rsidRPr="00F83B6B">
              <w:rPr>
                <w:rFonts w:ascii="Arial" w:hAnsi="Arial" w:cs="Arial"/>
                <w:b/>
                <w:sz w:val="18"/>
                <w:szCs w:val="18"/>
              </w:rPr>
              <w:t xml:space="preserve">Evidence </w:t>
            </w:r>
            <w:r w:rsidR="00186360">
              <w:rPr>
                <w:rFonts w:ascii="Arial" w:hAnsi="Arial" w:cs="Arial"/>
                <w:b/>
                <w:sz w:val="18"/>
                <w:szCs w:val="18"/>
              </w:rPr>
              <w:t>e</w:t>
            </w:r>
            <w:r w:rsidRPr="00F83B6B">
              <w:rPr>
                <w:rFonts w:ascii="Arial" w:hAnsi="Arial" w:cs="Arial"/>
                <w:b/>
                <w:sz w:val="18"/>
                <w:szCs w:val="18"/>
              </w:rPr>
              <w:t>xamples</w:t>
            </w:r>
          </w:p>
        </w:tc>
      </w:tr>
      <w:tr w:rsidR="00E10391" w:rsidRPr="00F83B6B" w:rsidTr="00A66271">
        <w:trPr>
          <w:cantSplit/>
        </w:trPr>
        <w:tc>
          <w:tcPr>
            <w:tcW w:w="9923" w:type="dxa"/>
            <w:gridSpan w:val="2"/>
            <w:tcBorders>
              <w:bottom w:val="single" w:sz="4" w:space="0" w:color="auto"/>
            </w:tcBorders>
            <w:shd w:val="clear" w:color="auto" w:fill="FABF8F" w:themeFill="accent6" w:themeFillTint="99"/>
          </w:tcPr>
          <w:p w:rsidR="00E10391" w:rsidRPr="00F83B6B" w:rsidRDefault="00E10391" w:rsidP="00A66271">
            <w:pPr>
              <w:keepNext/>
              <w:spacing w:before="40" w:after="40"/>
              <w:rPr>
                <w:rFonts w:ascii="Arial" w:hAnsi="Arial" w:cs="Arial"/>
                <w:b/>
                <w:sz w:val="18"/>
                <w:szCs w:val="18"/>
              </w:rPr>
            </w:pPr>
            <w:r w:rsidRPr="00F83B6B">
              <w:rPr>
                <w:rFonts w:ascii="Arial" w:hAnsi="Arial" w:cs="Arial"/>
                <w:b/>
                <w:sz w:val="18"/>
                <w:szCs w:val="18"/>
              </w:rPr>
              <w:t>Element 1 – Understand the work environment and work practices</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1</w:t>
            </w:r>
            <w:r w:rsidRPr="00F83B6B">
              <w:rPr>
                <w:rFonts w:ascii="Arial" w:hAnsi="Arial" w:cs="Arial"/>
                <w:sz w:val="18"/>
                <w:szCs w:val="18"/>
              </w:rPr>
              <w:tab/>
              <w:t>Understands the importance of preparing cytotoxic drug products in environments and using equipment specifically provided for that purpose.</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explain the toxic potential of cytotoxic/teratogenic drugs.</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describe how features of the equipment and environment contribute to protection of product, environment</w:t>
            </w:r>
            <w:r>
              <w:rPr>
                <w:rFonts w:ascii="Arial" w:hAnsi="Arial" w:cs="Arial"/>
                <w:sz w:val="18"/>
                <w:szCs w:val="18"/>
              </w:rPr>
              <w:t xml:space="preserve"> </w:t>
            </w:r>
            <w:r w:rsidRPr="00F83B6B">
              <w:rPr>
                <w:rFonts w:ascii="Arial" w:hAnsi="Arial" w:cs="Arial"/>
                <w:sz w:val="18"/>
                <w:szCs w:val="18"/>
              </w:rPr>
              <w:t>and p</w:t>
            </w:r>
            <w:r>
              <w:rPr>
                <w:rFonts w:ascii="Arial" w:hAnsi="Arial" w:cs="Arial"/>
                <w:sz w:val="18"/>
                <w:szCs w:val="18"/>
              </w:rPr>
              <w:t>eople, including the p</w:t>
            </w:r>
            <w:r w:rsidRPr="00F83B6B">
              <w:rPr>
                <w:rFonts w:ascii="Arial" w:hAnsi="Arial" w:cs="Arial"/>
                <w:sz w:val="18"/>
                <w:szCs w:val="18"/>
              </w:rPr>
              <w:t>reparer.</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differentiate products requiring preparation in a cleanroom and cytotoxic drug safety cabinet or isolator</w:t>
            </w:r>
            <w:r>
              <w:rPr>
                <w:rFonts w:ascii="Arial" w:hAnsi="Arial" w:cs="Arial"/>
                <w:sz w:val="18"/>
                <w:szCs w:val="18"/>
              </w:rPr>
              <w:t xml:space="preserve"> cabinet</w:t>
            </w:r>
            <w:r w:rsidRPr="00F83B6B">
              <w:rPr>
                <w:rFonts w:ascii="Arial" w:hAnsi="Arial" w:cs="Arial"/>
                <w:sz w:val="18"/>
                <w:szCs w:val="18"/>
              </w:rPr>
              <w:t xml:space="preserve">. </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describe how the specialised techniques used in manipulation of cytotoxic drugs contribute to the protection of the product, environment and p</w:t>
            </w:r>
            <w:r>
              <w:rPr>
                <w:rFonts w:ascii="Arial" w:hAnsi="Arial" w:cs="Arial"/>
                <w:sz w:val="18"/>
                <w:szCs w:val="18"/>
              </w:rPr>
              <w:t>eople</w:t>
            </w:r>
            <w:r w:rsidRPr="00F83B6B">
              <w:rPr>
                <w:rFonts w:ascii="Arial" w:hAnsi="Arial" w:cs="Arial"/>
                <w:sz w:val="18"/>
                <w:szCs w:val="18"/>
              </w:rPr>
              <w:t>.</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2</w:t>
            </w:r>
            <w:r w:rsidRPr="00F83B6B">
              <w:rPr>
                <w:rFonts w:ascii="Arial" w:hAnsi="Arial" w:cs="Arial"/>
                <w:sz w:val="18"/>
                <w:szCs w:val="18"/>
              </w:rPr>
              <w:tab/>
              <w:t>Understands the operation of the cleanroom and cytotoxic drug safety cabinet and/or isolator cabinet.</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describe the operation of an isolator cabinet and/or the airflow and venting systems of the cleanroom and cabinet (including the way in which the air pressure differentials work and the changes in pressure that occur in the event of the spill alarm system being activated).</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3</w:t>
            </w:r>
            <w:r w:rsidRPr="00F83B6B">
              <w:rPr>
                <w:rFonts w:ascii="Arial" w:hAnsi="Arial" w:cs="Arial"/>
                <w:sz w:val="18"/>
                <w:szCs w:val="18"/>
              </w:rPr>
              <w:tab/>
              <w:t>Understands the safety procedures applicable in the event of a spill or accidental exposure to a cytotoxic drug.</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describe or demonstrate emergency procedures for a spill or accidental exposure.</w:t>
            </w:r>
          </w:p>
        </w:tc>
      </w:tr>
      <w:tr w:rsidR="00E10391" w:rsidRPr="00F83B6B" w:rsidTr="00A66271">
        <w:trPr>
          <w:cantSplit/>
        </w:trPr>
        <w:tc>
          <w:tcPr>
            <w:tcW w:w="3686" w:type="dxa"/>
            <w:tcBorders>
              <w:bottom w:val="single" w:sz="4" w:space="0" w:color="auto"/>
            </w:tcBorders>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4</w:t>
            </w:r>
            <w:r w:rsidRPr="00F83B6B">
              <w:rPr>
                <w:rFonts w:ascii="Arial" w:hAnsi="Arial" w:cs="Arial"/>
                <w:sz w:val="18"/>
                <w:szCs w:val="18"/>
              </w:rPr>
              <w:tab/>
              <w:t>Understands the principles to be applied for the safe transportation of cytotoxic products and disposal of waste.</w:t>
            </w:r>
          </w:p>
        </w:tc>
        <w:tc>
          <w:tcPr>
            <w:tcW w:w="6237" w:type="dxa"/>
            <w:tcBorders>
              <w:bottom w:val="single" w:sz="4" w:space="0" w:color="auto"/>
            </w:tcBorders>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describe risks posed by cytotoxic products and waste and how correct packaging and disposal reduces the risks. </w:t>
            </w:r>
          </w:p>
        </w:tc>
      </w:tr>
      <w:tr w:rsidR="00E10391" w:rsidRPr="00F83B6B" w:rsidTr="00A66271">
        <w:trPr>
          <w:cantSplit/>
        </w:trPr>
        <w:tc>
          <w:tcPr>
            <w:tcW w:w="9923" w:type="dxa"/>
            <w:gridSpan w:val="2"/>
            <w:tcBorders>
              <w:bottom w:val="single" w:sz="4" w:space="0" w:color="auto"/>
            </w:tcBorders>
            <w:shd w:val="clear" w:color="auto" w:fill="FABF8F" w:themeFill="accent6" w:themeFillTint="99"/>
          </w:tcPr>
          <w:p w:rsidR="00E10391" w:rsidRPr="00F83B6B" w:rsidRDefault="00E10391" w:rsidP="00A66271">
            <w:pPr>
              <w:keepNext/>
              <w:spacing w:before="40" w:after="40"/>
              <w:rPr>
                <w:rFonts w:ascii="Arial" w:hAnsi="Arial" w:cs="Arial"/>
                <w:b/>
                <w:sz w:val="18"/>
                <w:szCs w:val="18"/>
              </w:rPr>
            </w:pPr>
            <w:r w:rsidRPr="00F83B6B">
              <w:rPr>
                <w:rFonts w:ascii="Arial" w:hAnsi="Arial" w:cs="Arial"/>
                <w:b/>
                <w:sz w:val="18"/>
                <w:szCs w:val="18"/>
              </w:rPr>
              <w:t>Element 2 – Prepare cytotoxic drug products</w:t>
            </w:r>
          </w:p>
        </w:tc>
      </w:tr>
      <w:tr w:rsidR="00E10391" w:rsidRPr="00F83B6B" w:rsidTr="00A66271">
        <w:trPr>
          <w:cantSplit/>
        </w:trPr>
        <w:tc>
          <w:tcPr>
            <w:tcW w:w="3686" w:type="dxa"/>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1</w:t>
            </w:r>
            <w:r w:rsidRPr="00F83B6B">
              <w:rPr>
                <w:rFonts w:ascii="Arial" w:hAnsi="Arial" w:cs="Arial"/>
                <w:sz w:val="18"/>
                <w:szCs w:val="18"/>
              </w:rPr>
              <w:tab/>
              <w:t>Scrubs and gowns appropriately before commencing preparation of the product.</w:t>
            </w:r>
          </w:p>
        </w:tc>
        <w:tc>
          <w:tcPr>
            <w:tcW w:w="6237" w:type="dxa"/>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describe and/or demonstrate correct scrub and gowning technique.</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select correct gowning apparel</w:t>
            </w:r>
            <w:r>
              <w:rPr>
                <w:rFonts w:ascii="Arial" w:hAnsi="Arial" w:cs="Arial"/>
                <w:sz w:val="18"/>
                <w:szCs w:val="18"/>
              </w:rPr>
              <w:t xml:space="preserve"> for preparation of cytotoxic products (e.g. moisture impervious coveralls and mask)</w:t>
            </w:r>
            <w:r w:rsidRPr="00F83B6B">
              <w:rPr>
                <w:rFonts w:ascii="Arial" w:hAnsi="Arial" w:cs="Arial"/>
                <w:sz w:val="18"/>
                <w:szCs w:val="18"/>
              </w:rPr>
              <w:t>.</w:t>
            </w:r>
          </w:p>
        </w:tc>
      </w:tr>
      <w:tr w:rsidR="00E10391" w:rsidRPr="00F83B6B" w:rsidTr="00A66271">
        <w:trPr>
          <w:cantSplit/>
        </w:trPr>
        <w:tc>
          <w:tcPr>
            <w:tcW w:w="3686" w:type="dxa"/>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2</w:t>
            </w:r>
            <w:r w:rsidRPr="00F83B6B">
              <w:rPr>
                <w:rFonts w:ascii="Arial" w:hAnsi="Arial" w:cs="Arial"/>
                <w:sz w:val="18"/>
                <w:szCs w:val="18"/>
              </w:rPr>
              <w:tab/>
              <w:t>Understands how to arrange ingredients and equipment within the preparation cabinet.</w:t>
            </w:r>
          </w:p>
        </w:tc>
        <w:tc>
          <w:tcPr>
            <w:tcW w:w="6237" w:type="dxa"/>
          </w:tcPr>
          <w:p w:rsidR="00E10391"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demonstrate the desired layout of ingredients and equipment in the preparation cabinet.</w:t>
            </w:r>
          </w:p>
          <w:p w:rsidR="00E10391" w:rsidRPr="00F83B6B" w:rsidRDefault="00E10391" w:rsidP="00E10391">
            <w:pPr>
              <w:numPr>
                <w:ilvl w:val="0"/>
                <w:numId w:val="24"/>
              </w:numPr>
              <w:spacing w:before="40" w:after="40"/>
              <w:ind w:left="284" w:hanging="284"/>
              <w:rPr>
                <w:rFonts w:ascii="Arial" w:hAnsi="Arial" w:cs="Arial"/>
                <w:sz w:val="18"/>
                <w:szCs w:val="18"/>
              </w:rPr>
            </w:pPr>
            <w:r>
              <w:rPr>
                <w:rFonts w:ascii="Arial" w:hAnsi="Arial" w:cs="Arial"/>
                <w:sz w:val="18"/>
                <w:szCs w:val="18"/>
              </w:rPr>
              <w:t>Ability to explain the way in which the arrangement of ingredients and equipment minimises the risk of contamination of the product, personnel and the environment.</w:t>
            </w:r>
          </w:p>
        </w:tc>
      </w:tr>
      <w:tr w:rsidR="00E10391" w:rsidRPr="00F83B6B" w:rsidTr="00A66271">
        <w:trPr>
          <w:cantSplit/>
        </w:trPr>
        <w:tc>
          <w:tcPr>
            <w:tcW w:w="3686" w:type="dxa"/>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3</w:t>
            </w:r>
            <w:r w:rsidRPr="00F83B6B">
              <w:rPr>
                <w:rFonts w:ascii="Arial" w:hAnsi="Arial" w:cs="Arial"/>
                <w:sz w:val="18"/>
                <w:szCs w:val="18"/>
              </w:rPr>
              <w:tab/>
              <w:t>Uses sound technique to prepare cytotoxic drug products in a cytotoxic drug safety cabinet or isolator cabinet.</w:t>
            </w:r>
          </w:p>
        </w:tc>
        <w:tc>
          <w:tcPr>
            <w:tcW w:w="6237" w:type="dxa"/>
          </w:tcPr>
          <w:p w:rsidR="00E10391" w:rsidRPr="00F83B6B" w:rsidRDefault="00E10391" w:rsidP="00C20950">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demonstrate sound technique for manipulating cytotoxic drugs/drug products using </w:t>
            </w:r>
            <w:r>
              <w:rPr>
                <w:rFonts w:ascii="Arial" w:hAnsi="Arial" w:cs="Arial"/>
                <w:sz w:val="18"/>
                <w:szCs w:val="18"/>
              </w:rPr>
              <w:t>the</w:t>
            </w:r>
            <w:r w:rsidRPr="00F83B6B">
              <w:rPr>
                <w:rFonts w:ascii="Arial" w:hAnsi="Arial" w:cs="Arial"/>
                <w:sz w:val="18"/>
                <w:szCs w:val="18"/>
              </w:rPr>
              <w:t xml:space="preserve"> variety of equipment</w:t>
            </w:r>
            <w:r>
              <w:rPr>
                <w:rFonts w:ascii="Arial" w:hAnsi="Arial" w:cs="Arial"/>
                <w:sz w:val="18"/>
                <w:szCs w:val="18"/>
              </w:rPr>
              <w:t xml:space="preserve"> required for preparing compounded products</w:t>
            </w:r>
            <w:r w:rsidRPr="00F83B6B">
              <w:rPr>
                <w:rFonts w:ascii="Arial" w:hAnsi="Arial" w:cs="Arial"/>
                <w:sz w:val="18"/>
                <w:szCs w:val="18"/>
              </w:rPr>
              <w:t>.</w:t>
            </w:r>
          </w:p>
        </w:tc>
      </w:tr>
      <w:tr w:rsidR="00E10391" w:rsidRPr="00F83B6B" w:rsidTr="00A66271">
        <w:trPr>
          <w:cantSplit/>
        </w:trPr>
        <w:tc>
          <w:tcPr>
            <w:tcW w:w="3686" w:type="dxa"/>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4</w:t>
            </w:r>
            <w:r w:rsidRPr="00F83B6B">
              <w:rPr>
                <w:rFonts w:ascii="Arial" w:hAnsi="Arial" w:cs="Arial"/>
                <w:sz w:val="18"/>
                <w:szCs w:val="18"/>
              </w:rPr>
              <w:tab/>
              <w:t>Takes prompt action to clean up cytotoxic spills in the cabinet or cleanroom.</w:t>
            </w:r>
          </w:p>
        </w:tc>
        <w:tc>
          <w:tcPr>
            <w:tcW w:w="6237" w:type="dxa"/>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describe and/or demonstrate the correct use of a spill kit and procedures to be observed in the event of a spill inside the cabinet.</w:t>
            </w:r>
          </w:p>
        </w:tc>
      </w:tr>
      <w:tr w:rsidR="00E10391" w:rsidRPr="00F83B6B" w:rsidTr="00A66271">
        <w:trPr>
          <w:cantSplit/>
        </w:trPr>
        <w:tc>
          <w:tcPr>
            <w:tcW w:w="3686" w:type="dxa"/>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5</w:t>
            </w:r>
            <w:r w:rsidRPr="00F83B6B">
              <w:rPr>
                <w:rFonts w:ascii="Arial" w:hAnsi="Arial" w:cs="Arial"/>
                <w:b/>
                <w:i/>
                <w:sz w:val="18"/>
                <w:szCs w:val="18"/>
              </w:rPr>
              <w:tab/>
            </w:r>
            <w:r w:rsidRPr="00F83B6B">
              <w:rPr>
                <w:rFonts w:ascii="Arial" w:hAnsi="Arial" w:cs="Arial"/>
                <w:sz w:val="18"/>
                <w:szCs w:val="18"/>
              </w:rPr>
              <w:t>Disposes of waste materials generated during the preparation of products according to established protocols.</w:t>
            </w:r>
          </w:p>
        </w:tc>
        <w:tc>
          <w:tcPr>
            <w:tcW w:w="6237" w:type="dxa"/>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describe and/or demonstrate disposal of waste materials such as used needles, syringes and primary containers consistent with established policy and procedures.</w:t>
            </w:r>
          </w:p>
        </w:tc>
      </w:tr>
      <w:tr w:rsidR="00E10391" w:rsidRPr="00F83B6B" w:rsidTr="00A66271">
        <w:trPr>
          <w:cantSplit/>
        </w:trPr>
        <w:tc>
          <w:tcPr>
            <w:tcW w:w="3686" w:type="dxa"/>
          </w:tcPr>
          <w:p w:rsidR="00E10391" w:rsidRPr="00F83B6B" w:rsidRDefault="00E10391" w:rsidP="00A66271">
            <w:pPr>
              <w:spacing w:before="40" w:after="40"/>
              <w:ind w:left="397" w:hanging="397"/>
              <w:rPr>
                <w:rFonts w:ascii="Arial" w:hAnsi="Arial" w:cs="Arial"/>
                <w:b/>
                <w:i/>
                <w:sz w:val="18"/>
                <w:szCs w:val="18"/>
              </w:rPr>
            </w:pPr>
            <w:r w:rsidRPr="00F83B6B">
              <w:rPr>
                <w:rFonts w:ascii="Arial" w:hAnsi="Arial" w:cs="Arial"/>
                <w:sz w:val="18"/>
                <w:szCs w:val="18"/>
              </w:rPr>
              <w:t>6</w:t>
            </w:r>
            <w:r w:rsidRPr="00F83B6B">
              <w:rPr>
                <w:rFonts w:ascii="Arial" w:hAnsi="Arial" w:cs="Arial"/>
                <w:b/>
                <w:i/>
                <w:sz w:val="18"/>
                <w:szCs w:val="18"/>
              </w:rPr>
              <w:tab/>
            </w:r>
            <w:r w:rsidRPr="00F83B6B">
              <w:rPr>
                <w:rFonts w:ascii="Arial" w:hAnsi="Arial" w:cs="Arial"/>
                <w:sz w:val="18"/>
                <w:szCs w:val="18"/>
              </w:rPr>
              <w:t>Packages each product in a manner that allows its safe transportation from the preparation area to consumer treatment areas.</w:t>
            </w:r>
          </w:p>
        </w:tc>
        <w:tc>
          <w:tcPr>
            <w:tcW w:w="6237" w:type="dxa"/>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describe and/or demonstrate the </w:t>
            </w:r>
            <w:r>
              <w:rPr>
                <w:rFonts w:ascii="Arial" w:hAnsi="Arial" w:cs="Arial"/>
                <w:sz w:val="18"/>
                <w:szCs w:val="18"/>
              </w:rPr>
              <w:t xml:space="preserve">sealed impervious </w:t>
            </w:r>
            <w:r w:rsidRPr="00F83B6B">
              <w:rPr>
                <w:rFonts w:ascii="Arial" w:hAnsi="Arial" w:cs="Arial"/>
                <w:sz w:val="18"/>
                <w:szCs w:val="18"/>
              </w:rPr>
              <w:t>packaging required before the product leaves the cleanroom environment.</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describe any additional packaging required to minimise the risk of product contamination and unintended exposure of the environment or people during its transportation.</w:t>
            </w:r>
          </w:p>
        </w:tc>
      </w:tr>
      <w:tr w:rsidR="00E10391" w:rsidRPr="00F83B6B" w:rsidTr="00A66271">
        <w:trPr>
          <w:cantSplit/>
        </w:trPr>
        <w:tc>
          <w:tcPr>
            <w:tcW w:w="3686" w:type="dxa"/>
          </w:tcPr>
          <w:p w:rsidR="00E10391" w:rsidRPr="00F83B6B" w:rsidDel="009A1B95" w:rsidRDefault="00E10391" w:rsidP="00A66271">
            <w:pPr>
              <w:spacing w:before="40" w:after="40"/>
              <w:ind w:left="397" w:hanging="397"/>
              <w:rPr>
                <w:rFonts w:ascii="Arial" w:hAnsi="Arial" w:cs="Arial"/>
                <w:sz w:val="18"/>
                <w:szCs w:val="18"/>
              </w:rPr>
            </w:pPr>
            <w:r w:rsidRPr="00F83B6B">
              <w:rPr>
                <w:rFonts w:ascii="Arial" w:hAnsi="Arial" w:cs="Arial"/>
                <w:sz w:val="18"/>
                <w:szCs w:val="18"/>
              </w:rPr>
              <w:t>7</w:t>
            </w:r>
            <w:r w:rsidRPr="00F83B6B">
              <w:rPr>
                <w:rFonts w:ascii="Arial" w:hAnsi="Arial" w:cs="Arial"/>
                <w:b/>
                <w:i/>
                <w:sz w:val="18"/>
                <w:szCs w:val="18"/>
              </w:rPr>
              <w:tab/>
            </w:r>
            <w:r w:rsidRPr="00F83B6B">
              <w:rPr>
                <w:rFonts w:ascii="Arial" w:hAnsi="Arial" w:cs="Arial"/>
                <w:sz w:val="18"/>
                <w:szCs w:val="18"/>
              </w:rPr>
              <w:t>Contributes to maintenance of an audit trail on all ingredients and final products.</w:t>
            </w:r>
          </w:p>
        </w:tc>
        <w:tc>
          <w:tcPr>
            <w:tcW w:w="6237" w:type="dxa"/>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describe the way in which records support the maintenance of an audit trail on ingredients and final products.</w:t>
            </w:r>
          </w:p>
        </w:tc>
      </w:tr>
      <w:tr w:rsidR="00E10391" w:rsidRPr="00F83B6B" w:rsidTr="00A66271">
        <w:trPr>
          <w:cantSplit/>
        </w:trPr>
        <w:tc>
          <w:tcPr>
            <w:tcW w:w="9923" w:type="dxa"/>
            <w:gridSpan w:val="2"/>
            <w:tcBorders>
              <w:bottom w:val="single" w:sz="4" w:space="0" w:color="auto"/>
            </w:tcBorders>
            <w:shd w:val="clear" w:color="auto" w:fill="FABF8F" w:themeFill="accent6" w:themeFillTint="99"/>
          </w:tcPr>
          <w:p w:rsidR="00E10391" w:rsidRPr="00F83B6B" w:rsidRDefault="00E10391" w:rsidP="00A66271">
            <w:pPr>
              <w:keepNext/>
              <w:spacing w:before="40" w:after="40"/>
              <w:rPr>
                <w:rFonts w:ascii="Arial" w:hAnsi="Arial" w:cs="Arial"/>
                <w:b/>
                <w:sz w:val="18"/>
                <w:szCs w:val="18"/>
              </w:rPr>
            </w:pPr>
            <w:r w:rsidRPr="00F83B6B">
              <w:rPr>
                <w:rFonts w:ascii="Arial" w:hAnsi="Arial" w:cs="Arial"/>
                <w:b/>
                <w:sz w:val="18"/>
                <w:szCs w:val="18"/>
              </w:rPr>
              <w:lastRenderedPageBreak/>
              <w:t>Element 3 – Assist the safe use of cytotoxic drug products</w:t>
            </w:r>
          </w:p>
        </w:tc>
      </w:tr>
      <w:tr w:rsidR="00E10391" w:rsidRPr="00F83B6B" w:rsidTr="00A66271">
        <w:trPr>
          <w:cantSplit/>
        </w:trPr>
        <w:tc>
          <w:tcPr>
            <w:tcW w:w="3686" w:type="dxa"/>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1</w:t>
            </w:r>
            <w:r w:rsidRPr="00F83B6B">
              <w:rPr>
                <w:rFonts w:ascii="Arial" w:hAnsi="Arial" w:cs="Arial"/>
                <w:b/>
                <w:i/>
                <w:sz w:val="18"/>
                <w:szCs w:val="18"/>
              </w:rPr>
              <w:tab/>
            </w:r>
            <w:r w:rsidRPr="00F83B6B">
              <w:rPr>
                <w:rFonts w:ascii="Arial" w:hAnsi="Arial" w:cs="Arial"/>
                <w:sz w:val="18"/>
                <w:szCs w:val="18"/>
              </w:rPr>
              <w:t>Applies product labels that clarify the method of administration, storage requirements and expiry for product users.</w:t>
            </w:r>
          </w:p>
        </w:tc>
        <w:tc>
          <w:tcPr>
            <w:tcW w:w="6237" w:type="dxa"/>
          </w:tcPr>
          <w:p w:rsidR="00E10391"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produce clear, unambiguous labels that provide user information, including information on administration, storage and expiry.</w:t>
            </w:r>
          </w:p>
          <w:p w:rsidR="00E10391" w:rsidRPr="00F83B6B" w:rsidRDefault="00E10391" w:rsidP="00E10391">
            <w:pPr>
              <w:numPr>
                <w:ilvl w:val="0"/>
                <w:numId w:val="24"/>
              </w:numPr>
              <w:spacing w:before="40" w:after="40"/>
              <w:ind w:left="284" w:hanging="284"/>
              <w:rPr>
                <w:rFonts w:ascii="Arial" w:hAnsi="Arial" w:cs="Arial"/>
                <w:sz w:val="18"/>
                <w:szCs w:val="18"/>
              </w:rPr>
            </w:pPr>
            <w:r>
              <w:rPr>
                <w:rFonts w:ascii="Arial" w:hAnsi="Arial" w:cs="Arial"/>
                <w:sz w:val="18"/>
                <w:szCs w:val="18"/>
              </w:rPr>
              <w:t>Ability to describe the professional labelling (e.g. the specific purple symbol used to denote a cytotoxic drug) and storage conventions (e.g. segregation from other products) used for products that contain cytotoxic drugs.</w:t>
            </w:r>
          </w:p>
        </w:tc>
      </w:tr>
      <w:tr w:rsidR="00E10391" w:rsidRPr="00F83B6B" w:rsidTr="00A66271">
        <w:trPr>
          <w:cantSplit/>
        </w:trPr>
        <w:tc>
          <w:tcPr>
            <w:tcW w:w="3686" w:type="dxa"/>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2</w:t>
            </w:r>
            <w:r w:rsidRPr="00F83B6B">
              <w:rPr>
                <w:rFonts w:ascii="Arial" w:hAnsi="Arial" w:cs="Arial"/>
                <w:b/>
                <w:i/>
                <w:sz w:val="18"/>
                <w:szCs w:val="18"/>
              </w:rPr>
              <w:tab/>
            </w:r>
            <w:r w:rsidRPr="00F83B6B">
              <w:rPr>
                <w:rFonts w:ascii="Arial" w:hAnsi="Arial" w:cs="Arial"/>
                <w:sz w:val="18"/>
                <w:szCs w:val="18"/>
              </w:rPr>
              <w:t>Provides advice on administration techniques and equipment required for the safe administration of cytotoxic drug products.</w:t>
            </w:r>
          </w:p>
        </w:tc>
        <w:tc>
          <w:tcPr>
            <w:tcW w:w="6237" w:type="dxa"/>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describe precautions and/or demonstrate the use of equipment (e.g. special purpose gowns and gloves, luer lock connector</w:t>
            </w:r>
            <w:r>
              <w:rPr>
                <w:rFonts w:ascii="Arial" w:hAnsi="Arial" w:cs="Arial"/>
                <w:sz w:val="18"/>
                <w:szCs w:val="18"/>
              </w:rPr>
              <w:t>s and lu</w:t>
            </w:r>
            <w:r w:rsidR="006E280F">
              <w:rPr>
                <w:rFonts w:ascii="Arial" w:hAnsi="Arial" w:cs="Arial"/>
                <w:sz w:val="18"/>
                <w:szCs w:val="18"/>
              </w:rPr>
              <w:t>e</w:t>
            </w:r>
            <w:r>
              <w:rPr>
                <w:rFonts w:ascii="Arial" w:hAnsi="Arial" w:cs="Arial"/>
                <w:sz w:val="18"/>
                <w:szCs w:val="18"/>
              </w:rPr>
              <w:t>r lock connector giving sets</w:t>
            </w:r>
            <w:r w:rsidRPr="00F83B6B">
              <w:rPr>
                <w:rFonts w:ascii="Arial" w:hAnsi="Arial" w:cs="Arial"/>
                <w:sz w:val="18"/>
                <w:szCs w:val="18"/>
              </w:rPr>
              <w:t>) needed for the safe handling and administration of cytotoxic drug products.</w:t>
            </w:r>
          </w:p>
        </w:tc>
      </w:tr>
      <w:tr w:rsidR="00E10391" w:rsidRPr="00F83B6B" w:rsidTr="00A66271">
        <w:trPr>
          <w:cantSplit/>
        </w:trPr>
        <w:tc>
          <w:tcPr>
            <w:tcW w:w="3686" w:type="dxa"/>
            <w:tcBorders>
              <w:bottom w:val="single" w:sz="4" w:space="0" w:color="auto"/>
            </w:tcBorders>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3</w:t>
            </w:r>
            <w:r w:rsidRPr="00F83B6B">
              <w:rPr>
                <w:rFonts w:ascii="Arial" w:hAnsi="Arial" w:cs="Arial"/>
                <w:sz w:val="18"/>
                <w:szCs w:val="18"/>
              </w:rPr>
              <w:tab/>
              <w:t>Explains equipment and processes required for the safe handling and disposal of cytotoxic waste, including affected body fluids.</w:t>
            </w:r>
          </w:p>
        </w:tc>
        <w:tc>
          <w:tcPr>
            <w:tcW w:w="6237" w:type="dxa"/>
            <w:tcBorders>
              <w:bottom w:val="single" w:sz="4" w:space="0" w:color="auto"/>
            </w:tcBorders>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describe or promptly access information on the correct disposal equipment and processes required for different types of contaminated waste.</w:t>
            </w:r>
          </w:p>
        </w:tc>
      </w:tr>
      <w:tr w:rsidR="00E10391" w:rsidRPr="00F83B6B" w:rsidTr="00A66271">
        <w:trPr>
          <w:cantSplit/>
        </w:trPr>
        <w:tc>
          <w:tcPr>
            <w:tcW w:w="9923" w:type="dxa"/>
            <w:gridSpan w:val="2"/>
            <w:tcBorders>
              <w:bottom w:val="single" w:sz="4" w:space="0" w:color="auto"/>
            </w:tcBorders>
            <w:shd w:val="clear" w:color="auto" w:fill="FABF8F" w:themeFill="accent6" w:themeFillTint="99"/>
          </w:tcPr>
          <w:p w:rsidR="00E10391" w:rsidRPr="00F83B6B" w:rsidRDefault="00E10391" w:rsidP="00A66271">
            <w:pPr>
              <w:spacing w:before="40" w:after="40"/>
              <w:rPr>
                <w:rFonts w:ascii="Arial" w:hAnsi="Arial" w:cs="Arial"/>
                <w:b/>
                <w:sz w:val="18"/>
                <w:szCs w:val="18"/>
              </w:rPr>
            </w:pPr>
            <w:r w:rsidRPr="00F83B6B">
              <w:rPr>
                <w:rFonts w:ascii="Arial" w:hAnsi="Arial" w:cs="Arial"/>
                <w:b/>
                <w:sz w:val="18"/>
                <w:szCs w:val="18"/>
              </w:rPr>
              <w:t>Element 4 – Protect personal health</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1</w:t>
            </w:r>
            <w:r w:rsidRPr="00F83B6B">
              <w:rPr>
                <w:rFonts w:ascii="Arial" w:hAnsi="Arial" w:cs="Arial"/>
                <w:b/>
                <w:i/>
                <w:sz w:val="18"/>
                <w:szCs w:val="18"/>
              </w:rPr>
              <w:tab/>
            </w:r>
            <w:r w:rsidRPr="00F83B6B">
              <w:rPr>
                <w:rFonts w:ascii="Arial" w:hAnsi="Arial" w:cs="Arial"/>
                <w:sz w:val="18"/>
                <w:szCs w:val="18"/>
              </w:rPr>
              <w:t>Understands circumstances that would preclude personal involvement in the preparation of cytotoxic drug products.</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describe circumstances which would preclude personal involvement in the preparation of cytotoxic drug products (e.g. pregnancy, immunosuppression).</w:t>
            </w:r>
          </w:p>
        </w:tc>
      </w:tr>
      <w:tr w:rsidR="00E10391" w:rsidRPr="00F83B6B" w:rsidTr="00A66271">
        <w:trPr>
          <w:cantSplit/>
        </w:trPr>
        <w:tc>
          <w:tcPr>
            <w:tcW w:w="3686" w:type="dxa"/>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2</w:t>
            </w:r>
            <w:r w:rsidRPr="00F83B6B">
              <w:rPr>
                <w:rFonts w:ascii="Arial" w:hAnsi="Arial" w:cs="Arial"/>
                <w:sz w:val="18"/>
                <w:szCs w:val="18"/>
              </w:rPr>
              <w:tab/>
              <w:t>Participates in activities/programs intended to assure sound technique and the quality of aseptically prepared products.</w:t>
            </w:r>
          </w:p>
        </w:tc>
        <w:tc>
          <w:tcPr>
            <w:tcW w:w="6237" w:type="dxa"/>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describe a validation/certification program for maintaining sound aseptic technique.</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demonstrate sound aseptic technique</w:t>
            </w:r>
            <w:r>
              <w:rPr>
                <w:rFonts w:ascii="Arial" w:hAnsi="Arial" w:cs="Arial"/>
                <w:sz w:val="18"/>
                <w:szCs w:val="18"/>
              </w:rPr>
              <w:t xml:space="preserve"> and procedures for preparing non-sterile cytotoxic drug products through participation in a quality assurance program</w:t>
            </w:r>
            <w:r w:rsidRPr="00F83B6B">
              <w:rPr>
                <w:rFonts w:ascii="Arial" w:hAnsi="Arial" w:cs="Arial"/>
                <w:sz w:val="18"/>
                <w:szCs w:val="18"/>
              </w:rPr>
              <w:t>.</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describe key features of the quality assurance program.</w:t>
            </w:r>
          </w:p>
        </w:tc>
      </w:tr>
      <w:tr w:rsidR="00E10391" w:rsidRPr="00F83B6B" w:rsidTr="00A66271">
        <w:trPr>
          <w:cantSplit/>
        </w:trPr>
        <w:tc>
          <w:tcPr>
            <w:tcW w:w="3686" w:type="dxa"/>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3</w:t>
            </w:r>
            <w:r w:rsidRPr="00F83B6B">
              <w:rPr>
                <w:rFonts w:ascii="Arial" w:hAnsi="Arial" w:cs="Arial"/>
                <w:sz w:val="18"/>
                <w:szCs w:val="18"/>
              </w:rPr>
              <w:tab/>
              <w:t>Maintains accurate and complete records of exposure to cytotoxic drugs/drug products.</w:t>
            </w:r>
          </w:p>
        </w:tc>
        <w:tc>
          <w:tcPr>
            <w:tcW w:w="6237" w:type="dxa"/>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describe and/or demonstrate the use of a systematic recording system for products made, time spent in preparing each and unusual incidents such as spills or needlestick injuries.</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4</w:t>
            </w:r>
            <w:r w:rsidRPr="00F83B6B">
              <w:rPr>
                <w:rFonts w:ascii="Arial" w:hAnsi="Arial" w:cs="Arial"/>
                <w:sz w:val="18"/>
                <w:szCs w:val="18"/>
              </w:rPr>
              <w:tab/>
              <w:t>Reports spill and exposure incidents consistent with local policies and procedures.</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describe or promptly access policies and procedures for reporting and follow-up of spill and exposure incidents.</w:t>
            </w:r>
          </w:p>
        </w:tc>
      </w:tr>
    </w:tbl>
    <w:p w:rsidR="00E10391" w:rsidRPr="00F83B6B" w:rsidRDefault="00E10391" w:rsidP="00E10391">
      <w:pPr>
        <w:rPr>
          <w:rFonts w:ascii="Arial" w:hAnsi="Arial" w:cs="Arial"/>
          <w:sz w:val="18"/>
          <w:szCs w:val="18"/>
        </w:rPr>
      </w:pPr>
    </w:p>
    <w:p w:rsidR="00E10391" w:rsidRPr="00D80945" w:rsidRDefault="00E10391" w:rsidP="00E10391">
      <w:pPr>
        <w:pStyle w:val="Heading2"/>
        <w:rPr>
          <w:rFonts w:ascii="Arial" w:hAnsi="Arial" w:cs="Arial"/>
          <w:i w:val="0"/>
          <w:color w:val="FF0000"/>
        </w:rPr>
      </w:pPr>
    </w:p>
    <w:p w:rsidR="00700731" w:rsidRDefault="00700731">
      <w:pPr>
        <w:spacing w:after="0"/>
        <w:rPr>
          <w:rFonts w:ascii="Arial" w:eastAsiaTheme="majorEastAsia" w:hAnsi="Arial" w:cs="Arial"/>
          <w:b/>
          <w:bCs/>
          <w:iCs/>
          <w:color w:val="FF0000"/>
          <w:sz w:val="28"/>
          <w:szCs w:val="28"/>
        </w:rPr>
      </w:pPr>
      <w:bookmarkStart w:id="29" w:name="_Toc377638251"/>
      <w:r>
        <w:rPr>
          <w:rFonts w:ascii="Arial" w:hAnsi="Arial" w:cs="Arial"/>
          <w:i/>
          <w:color w:val="FF0000"/>
        </w:rPr>
        <w:br w:type="page"/>
      </w:r>
    </w:p>
    <w:p w:rsidR="00E10391" w:rsidRPr="00D80945" w:rsidRDefault="00E10391" w:rsidP="00E10391">
      <w:pPr>
        <w:pStyle w:val="Heading2"/>
        <w:jc w:val="center"/>
        <w:rPr>
          <w:rFonts w:ascii="Arial" w:hAnsi="Arial" w:cs="Arial"/>
          <w:i w:val="0"/>
        </w:rPr>
      </w:pPr>
      <w:r w:rsidRPr="00D80945">
        <w:rPr>
          <w:rFonts w:ascii="Arial" w:hAnsi="Arial" w:cs="Arial"/>
          <w:i w:val="0"/>
          <w:color w:val="FF0000"/>
        </w:rPr>
        <w:lastRenderedPageBreak/>
        <w:t>Domain 6:</w:t>
      </w:r>
      <w:r w:rsidRPr="00D80945">
        <w:rPr>
          <w:rFonts w:ascii="Arial" w:hAnsi="Arial" w:cs="Arial"/>
          <w:i w:val="0"/>
        </w:rPr>
        <w:t xml:space="preserve"> Deliver primary and preventive health care</w:t>
      </w:r>
      <w:r w:rsidRPr="00D80945">
        <w:rPr>
          <w:rStyle w:val="FootnoteReference"/>
          <w:rFonts w:ascii="Arial" w:hAnsi="Arial" w:cs="Arial"/>
          <w:i w:val="0"/>
          <w:sz w:val="20"/>
          <w:szCs w:val="20"/>
        </w:rPr>
        <w:footnoteReference w:id="5"/>
      </w:r>
      <w:bookmarkEnd w:id="29"/>
    </w:p>
    <w:p w:rsidR="00E10391" w:rsidRPr="00D80945" w:rsidRDefault="00E10391" w:rsidP="00E10391">
      <w:pPr>
        <w:pStyle w:val="Heading3"/>
        <w:rPr>
          <w:rFonts w:ascii="Arial" w:hAnsi="Arial" w:cs="Arial"/>
        </w:rPr>
      </w:pPr>
      <w:bookmarkStart w:id="30" w:name="_Toc377638252"/>
      <w:r w:rsidRPr="00D80945">
        <w:rPr>
          <w:rFonts w:ascii="Arial" w:hAnsi="Arial" w:cs="Arial"/>
          <w:color w:val="FF0000"/>
        </w:rPr>
        <w:t>Standard 6.1</w:t>
      </w:r>
      <w:r w:rsidRPr="00D80945">
        <w:rPr>
          <w:rFonts w:ascii="Arial" w:hAnsi="Arial" w:cs="Arial"/>
        </w:rPr>
        <w:t xml:space="preserve"> Assess primary health care needs</w:t>
      </w:r>
      <w:bookmarkEnd w:id="30"/>
    </w:p>
    <w:p w:rsidR="00E10391" w:rsidRPr="00D80945" w:rsidRDefault="00E10391" w:rsidP="00E10391">
      <w:pPr>
        <w:rPr>
          <w:rFonts w:ascii="Arial" w:hAnsi="Arial" w:cs="Arial"/>
          <w:sz w:val="18"/>
          <w:szCs w:val="1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237"/>
      </w:tblGrid>
      <w:tr w:rsidR="00E10391" w:rsidRPr="00F83B6B" w:rsidTr="00A66271">
        <w:trPr>
          <w:cantSplit/>
          <w:tblHeader/>
        </w:trPr>
        <w:tc>
          <w:tcPr>
            <w:tcW w:w="3686" w:type="dxa"/>
            <w:tcBorders>
              <w:bottom w:val="single" w:sz="4" w:space="0" w:color="auto"/>
            </w:tcBorders>
            <w:shd w:val="clear" w:color="auto" w:fill="548DD4" w:themeFill="text2" w:themeFillTint="99"/>
          </w:tcPr>
          <w:p w:rsidR="00E10391" w:rsidRPr="00F83B6B" w:rsidRDefault="00E10391" w:rsidP="00186360">
            <w:pPr>
              <w:keepNext/>
              <w:spacing w:before="40" w:after="40"/>
              <w:ind w:left="567" w:hanging="567"/>
              <w:rPr>
                <w:rFonts w:ascii="Arial" w:hAnsi="Arial" w:cs="Arial"/>
                <w:b/>
                <w:sz w:val="18"/>
                <w:szCs w:val="18"/>
              </w:rPr>
            </w:pPr>
            <w:r w:rsidRPr="00F83B6B">
              <w:rPr>
                <w:rFonts w:ascii="Arial" w:hAnsi="Arial" w:cs="Arial"/>
                <w:b/>
                <w:sz w:val="18"/>
                <w:szCs w:val="18"/>
              </w:rPr>
              <w:t xml:space="preserve">Performance </w:t>
            </w:r>
            <w:r w:rsidR="00186360">
              <w:rPr>
                <w:rFonts w:ascii="Arial" w:hAnsi="Arial" w:cs="Arial"/>
                <w:b/>
                <w:sz w:val="18"/>
                <w:szCs w:val="18"/>
              </w:rPr>
              <w:t>c</w:t>
            </w:r>
            <w:r w:rsidRPr="00F83B6B">
              <w:rPr>
                <w:rFonts w:ascii="Arial" w:hAnsi="Arial" w:cs="Arial"/>
                <w:b/>
                <w:sz w:val="18"/>
                <w:szCs w:val="18"/>
              </w:rPr>
              <w:t>riteria</w:t>
            </w:r>
          </w:p>
        </w:tc>
        <w:tc>
          <w:tcPr>
            <w:tcW w:w="6237" w:type="dxa"/>
            <w:tcBorders>
              <w:bottom w:val="single" w:sz="4" w:space="0" w:color="auto"/>
            </w:tcBorders>
            <w:shd w:val="clear" w:color="auto" w:fill="548DD4" w:themeFill="text2" w:themeFillTint="99"/>
          </w:tcPr>
          <w:p w:rsidR="00E10391" w:rsidRPr="00F83B6B" w:rsidRDefault="00E10391" w:rsidP="00186360">
            <w:pPr>
              <w:keepNext/>
              <w:spacing w:before="40" w:after="40"/>
              <w:ind w:left="284" w:hanging="284"/>
              <w:rPr>
                <w:rFonts w:ascii="Arial" w:hAnsi="Arial" w:cs="Arial"/>
                <w:b/>
                <w:sz w:val="18"/>
                <w:szCs w:val="18"/>
              </w:rPr>
            </w:pPr>
            <w:r w:rsidRPr="00F83B6B">
              <w:rPr>
                <w:rFonts w:ascii="Arial" w:hAnsi="Arial" w:cs="Arial"/>
                <w:b/>
                <w:sz w:val="18"/>
                <w:szCs w:val="18"/>
              </w:rPr>
              <w:t xml:space="preserve">Evidence </w:t>
            </w:r>
            <w:r w:rsidR="00186360">
              <w:rPr>
                <w:rFonts w:ascii="Arial" w:hAnsi="Arial" w:cs="Arial"/>
                <w:b/>
                <w:sz w:val="18"/>
                <w:szCs w:val="18"/>
              </w:rPr>
              <w:t>e</w:t>
            </w:r>
            <w:r w:rsidRPr="00F83B6B">
              <w:rPr>
                <w:rFonts w:ascii="Arial" w:hAnsi="Arial" w:cs="Arial"/>
                <w:b/>
                <w:sz w:val="18"/>
                <w:szCs w:val="18"/>
              </w:rPr>
              <w:t>xamples</w:t>
            </w:r>
          </w:p>
        </w:tc>
      </w:tr>
      <w:tr w:rsidR="00E10391" w:rsidRPr="00F83B6B" w:rsidTr="00A66271">
        <w:trPr>
          <w:cantSplit/>
        </w:trPr>
        <w:tc>
          <w:tcPr>
            <w:tcW w:w="9923" w:type="dxa"/>
            <w:gridSpan w:val="2"/>
            <w:tcBorders>
              <w:bottom w:val="single" w:sz="4" w:space="0" w:color="auto"/>
            </w:tcBorders>
            <w:shd w:val="clear" w:color="auto" w:fill="FABF8F" w:themeFill="accent6" w:themeFillTint="99"/>
          </w:tcPr>
          <w:p w:rsidR="00E10391" w:rsidRPr="00F83B6B" w:rsidRDefault="00E10391" w:rsidP="00A66271">
            <w:pPr>
              <w:keepNext/>
              <w:spacing w:before="40" w:after="40"/>
              <w:ind w:left="284" w:hanging="284"/>
              <w:rPr>
                <w:rFonts w:ascii="Arial" w:hAnsi="Arial" w:cs="Arial"/>
                <w:b/>
                <w:sz w:val="18"/>
                <w:szCs w:val="18"/>
              </w:rPr>
            </w:pPr>
            <w:r w:rsidRPr="00F83B6B">
              <w:rPr>
                <w:rFonts w:ascii="Arial" w:hAnsi="Arial" w:cs="Arial"/>
                <w:b/>
                <w:sz w:val="18"/>
                <w:szCs w:val="18"/>
              </w:rPr>
              <w:t>Element 1 – Elicit relevant clinical information</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1</w:t>
            </w:r>
            <w:r w:rsidRPr="00F83B6B">
              <w:rPr>
                <w:rFonts w:ascii="Arial" w:hAnsi="Arial" w:cs="Arial"/>
                <w:sz w:val="18"/>
                <w:szCs w:val="18"/>
              </w:rPr>
              <w:tab/>
              <w:t>Undertakes consultation with the consumer/carer in a manner that protects their privacy and confidentiality.</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discuss ways in which consumer privacy and confidentiality may be protected during a clinical consultation.</w:t>
            </w:r>
          </w:p>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describe circumstances where the consumer’s right to receive primary health care services anonymously should be protected.</w:t>
            </w:r>
          </w:p>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use a structured ‘patient-centred’ consultation with the consumer/carer without engendering concern, resistance or other adverse reaction.</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clarify the nature and duration of the symptoms/condition, other associated symptoms or signs, current or recent medications and actions/treatments already used and their effectiveness, asking appropriate questions where the required information is not readily volunteered.</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2</w:t>
            </w:r>
            <w:r w:rsidRPr="00F83B6B">
              <w:rPr>
                <w:rFonts w:ascii="Arial" w:hAnsi="Arial" w:cs="Arial"/>
                <w:sz w:val="18"/>
                <w:szCs w:val="18"/>
              </w:rPr>
              <w:tab/>
              <w:t>Uses the consumer medication record where this is available to confirm health information relevant to the presenting condition/symptoms.</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access individual consumer’s electronic or hard copy medication records to clarify current or recent medication treatment.</w:t>
            </w:r>
          </w:p>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select information from the consumer medication record that is relevant to the condition or symptoms under consideration.</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3</w:t>
            </w:r>
            <w:r w:rsidRPr="00F83B6B">
              <w:rPr>
                <w:rFonts w:ascii="Arial" w:hAnsi="Arial" w:cs="Arial"/>
                <w:sz w:val="18"/>
                <w:szCs w:val="18"/>
              </w:rPr>
              <w:tab/>
              <w:t>Obtains additional required clinical information from other health professionals and/or information sources (with consumer consent).</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describe and justify additional clinical information required (e.g. concurrent medical conditions, laboratory test results) to form an opinion about the treatment options.</w:t>
            </w:r>
          </w:p>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identify and access (with consumer consent) sources of clinical information about a consumer other than those available within the pharmacy.</w:t>
            </w:r>
          </w:p>
        </w:tc>
      </w:tr>
      <w:tr w:rsidR="00E10391" w:rsidRPr="00740183" w:rsidTr="00A66271">
        <w:trPr>
          <w:cantSplit/>
        </w:trPr>
        <w:tc>
          <w:tcPr>
            <w:tcW w:w="3686" w:type="dxa"/>
            <w:tcBorders>
              <w:bottom w:val="single" w:sz="4" w:space="0" w:color="auto"/>
            </w:tcBorders>
          </w:tcPr>
          <w:p w:rsidR="00E10391" w:rsidRPr="00740183" w:rsidRDefault="00E10391" w:rsidP="00A66271">
            <w:pPr>
              <w:spacing w:before="40" w:after="40"/>
              <w:ind w:left="397" w:hanging="397"/>
              <w:rPr>
                <w:rFonts w:ascii="Arial" w:hAnsi="Arial" w:cs="Arial"/>
              </w:rPr>
            </w:pPr>
            <w:r w:rsidRPr="00A675A0">
              <w:rPr>
                <w:rFonts w:ascii="Arial" w:hAnsi="Arial" w:cs="Arial"/>
                <w:sz w:val="18"/>
                <w:szCs w:val="18"/>
              </w:rPr>
              <w:t>4</w:t>
            </w:r>
            <w:r w:rsidRPr="00740183">
              <w:rPr>
                <w:rFonts w:ascii="Arial" w:hAnsi="Arial" w:cs="Arial"/>
              </w:rPr>
              <w:tab/>
            </w:r>
            <w:r w:rsidRPr="00F442B8">
              <w:rPr>
                <w:rFonts w:ascii="Arial" w:hAnsi="Arial" w:cs="Arial"/>
                <w:sz w:val="18"/>
                <w:szCs w:val="18"/>
              </w:rPr>
              <w:t>Maintains a network with individuals and organisations that are able to provide complementary input in the provision of primary health care services.</w:t>
            </w:r>
          </w:p>
        </w:tc>
        <w:tc>
          <w:tcPr>
            <w:tcW w:w="6237" w:type="dxa"/>
            <w:tcBorders>
              <w:bottom w:val="single" w:sz="4" w:space="0" w:color="auto"/>
            </w:tcBorders>
          </w:tcPr>
          <w:p w:rsidR="00E10391" w:rsidRPr="00F442B8" w:rsidRDefault="00E10391" w:rsidP="00E10391">
            <w:pPr>
              <w:numPr>
                <w:ilvl w:val="0"/>
                <w:numId w:val="24"/>
              </w:numPr>
              <w:spacing w:before="40" w:after="40"/>
              <w:ind w:left="284"/>
              <w:rPr>
                <w:rFonts w:ascii="Arial" w:hAnsi="Arial" w:cs="Arial"/>
                <w:sz w:val="18"/>
                <w:szCs w:val="18"/>
              </w:rPr>
            </w:pPr>
            <w:r w:rsidRPr="00F442B8">
              <w:rPr>
                <w:rFonts w:ascii="Arial" w:hAnsi="Arial" w:cs="Arial"/>
                <w:sz w:val="18"/>
                <w:szCs w:val="18"/>
              </w:rPr>
              <w:t>Ability to describe the complementary roles or expertise of the contacts in their primary health care network (e.g. other pharmacists, medical practitioners or veterinar</w:t>
            </w:r>
            <w:r>
              <w:rPr>
                <w:rFonts w:ascii="Arial" w:hAnsi="Arial" w:cs="Arial"/>
                <w:sz w:val="18"/>
                <w:szCs w:val="18"/>
              </w:rPr>
              <w:t>ians</w:t>
            </w:r>
            <w:r w:rsidRPr="00F442B8">
              <w:rPr>
                <w:rFonts w:ascii="Arial" w:hAnsi="Arial" w:cs="Arial"/>
                <w:sz w:val="18"/>
                <w:szCs w:val="18"/>
              </w:rPr>
              <w:t xml:space="preserve"> with an interest in</w:t>
            </w:r>
            <w:r>
              <w:rPr>
                <w:rFonts w:ascii="Arial" w:hAnsi="Arial" w:cs="Arial"/>
                <w:sz w:val="18"/>
                <w:szCs w:val="18"/>
              </w:rPr>
              <w:t>,</w:t>
            </w:r>
            <w:r w:rsidRPr="00F442B8">
              <w:rPr>
                <w:rFonts w:ascii="Arial" w:hAnsi="Arial" w:cs="Arial"/>
                <w:sz w:val="18"/>
                <w:szCs w:val="18"/>
              </w:rPr>
              <w:t xml:space="preserve"> or commitment to</w:t>
            </w:r>
            <w:r>
              <w:rPr>
                <w:rFonts w:ascii="Arial" w:hAnsi="Arial" w:cs="Arial"/>
                <w:sz w:val="18"/>
                <w:szCs w:val="18"/>
              </w:rPr>
              <w:t>,</w:t>
            </w:r>
            <w:r w:rsidRPr="00F442B8">
              <w:rPr>
                <w:rFonts w:ascii="Arial" w:hAnsi="Arial" w:cs="Arial"/>
                <w:sz w:val="18"/>
                <w:szCs w:val="18"/>
              </w:rPr>
              <w:t xml:space="preserve"> complex compounding).</w:t>
            </w:r>
          </w:p>
        </w:tc>
      </w:tr>
      <w:tr w:rsidR="00E10391" w:rsidRPr="00740183" w:rsidTr="00A66271">
        <w:trPr>
          <w:cantSplit/>
        </w:trPr>
        <w:tc>
          <w:tcPr>
            <w:tcW w:w="9923" w:type="dxa"/>
            <w:gridSpan w:val="2"/>
            <w:tcBorders>
              <w:bottom w:val="single" w:sz="4" w:space="0" w:color="auto"/>
            </w:tcBorders>
            <w:shd w:val="clear" w:color="auto" w:fill="FABF8F" w:themeFill="accent6" w:themeFillTint="99"/>
          </w:tcPr>
          <w:p w:rsidR="00E10391" w:rsidRPr="00F442B8" w:rsidRDefault="00E10391" w:rsidP="00A66271">
            <w:pPr>
              <w:spacing w:before="40" w:after="40"/>
              <w:ind w:left="284" w:hanging="284"/>
              <w:rPr>
                <w:rFonts w:ascii="Arial" w:hAnsi="Arial" w:cs="Arial"/>
                <w:b/>
                <w:sz w:val="18"/>
                <w:szCs w:val="18"/>
              </w:rPr>
            </w:pPr>
            <w:r w:rsidRPr="00F442B8">
              <w:rPr>
                <w:rFonts w:ascii="Arial" w:hAnsi="Arial" w:cs="Arial"/>
                <w:b/>
                <w:sz w:val="18"/>
                <w:szCs w:val="18"/>
              </w:rPr>
              <w:t>Element 2 – Identify management options</w:t>
            </w:r>
          </w:p>
        </w:tc>
      </w:tr>
      <w:tr w:rsidR="00E10391" w:rsidRPr="00740183" w:rsidTr="00A66271">
        <w:trPr>
          <w:cantSplit/>
        </w:trPr>
        <w:tc>
          <w:tcPr>
            <w:tcW w:w="3686" w:type="dxa"/>
            <w:shd w:val="clear" w:color="auto" w:fill="DBE5F1" w:themeFill="accent1" w:themeFillTint="33"/>
          </w:tcPr>
          <w:p w:rsidR="00E10391" w:rsidRPr="00F442B8" w:rsidRDefault="00E10391" w:rsidP="00A66271">
            <w:pPr>
              <w:spacing w:before="40" w:after="40"/>
              <w:ind w:left="397" w:hanging="397"/>
              <w:rPr>
                <w:rFonts w:ascii="Arial" w:hAnsi="Arial" w:cs="Arial"/>
                <w:sz w:val="18"/>
                <w:szCs w:val="18"/>
              </w:rPr>
            </w:pPr>
            <w:r w:rsidRPr="00F442B8">
              <w:rPr>
                <w:rFonts w:ascii="Arial" w:hAnsi="Arial" w:cs="Arial"/>
                <w:sz w:val="18"/>
                <w:szCs w:val="18"/>
              </w:rPr>
              <w:t>1</w:t>
            </w:r>
            <w:r w:rsidRPr="00F442B8">
              <w:rPr>
                <w:rFonts w:ascii="Arial" w:hAnsi="Arial" w:cs="Arial"/>
                <w:sz w:val="18"/>
                <w:szCs w:val="18"/>
              </w:rPr>
              <w:tab/>
              <w:t>Assesses the potential seriousness of the presenting symptoms/condition in the context of the clinical information gathered and the particular consumer.</w:t>
            </w:r>
          </w:p>
        </w:tc>
        <w:tc>
          <w:tcPr>
            <w:tcW w:w="6237" w:type="dxa"/>
            <w:shd w:val="clear" w:color="auto" w:fill="DBE5F1" w:themeFill="accent1" w:themeFillTint="33"/>
          </w:tcPr>
          <w:p w:rsidR="00E10391" w:rsidRPr="00F442B8" w:rsidRDefault="00E10391" w:rsidP="00E10391">
            <w:pPr>
              <w:numPr>
                <w:ilvl w:val="0"/>
                <w:numId w:val="24"/>
              </w:numPr>
              <w:spacing w:before="40" w:after="40"/>
              <w:ind w:left="284"/>
              <w:rPr>
                <w:rFonts w:ascii="Arial" w:hAnsi="Arial" w:cs="Arial"/>
                <w:sz w:val="18"/>
                <w:szCs w:val="18"/>
              </w:rPr>
            </w:pPr>
            <w:r w:rsidRPr="00F442B8">
              <w:rPr>
                <w:rFonts w:ascii="Arial" w:hAnsi="Arial" w:cs="Arial"/>
                <w:sz w:val="18"/>
                <w:szCs w:val="18"/>
              </w:rPr>
              <w:t>Ability to describe clinical circumstances where particular care is needed (e.g. babies or infants, pregnant or breastfeeding women) or onward referral should be considered (e.g. persistent or potentially serious symptoms).</w:t>
            </w:r>
          </w:p>
          <w:p w:rsidR="00E10391" w:rsidRPr="00F442B8" w:rsidRDefault="00E10391" w:rsidP="00E10391">
            <w:pPr>
              <w:numPr>
                <w:ilvl w:val="0"/>
                <w:numId w:val="24"/>
              </w:numPr>
              <w:spacing w:before="40" w:after="40"/>
              <w:ind w:left="284"/>
              <w:rPr>
                <w:rFonts w:ascii="Arial" w:hAnsi="Arial" w:cs="Arial"/>
                <w:sz w:val="18"/>
                <w:szCs w:val="18"/>
              </w:rPr>
            </w:pPr>
            <w:r w:rsidRPr="00F442B8">
              <w:rPr>
                <w:rFonts w:ascii="Arial" w:hAnsi="Arial" w:cs="Arial"/>
                <w:sz w:val="18"/>
                <w:szCs w:val="18"/>
              </w:rPr>
              <w:t>Ability to integrate and interpret clinical information to identify possible contributing or confounding factors.</w:t>
            </w:r>
          </w:p>
        </w:tc>
      </w:tr>
      <w:tr w:rsidR="00E10391" w:rsidRPr="00740183" w:rsidTr="00A66271">
        <w:trPr>
          <w:cantSplit/>
        </w:trPr>
        <w:tc>
          <w:tcPr>
            <w:tcW w:w="3686" w:type="dxa"/>
            <w:shd w:val="clear" w:color="auto" w:fill="DBE5F1" w:themeFill="accent1" w:themeFillTint="33"/>
          </w:tcPr>
          <w:p w:rsidR="00E10391" w:rsidRPr="00F442B8" w:rsidRDefault="00E10391" w:rsidP="00A66271">
            <w:pPr>
              <w:spacing w:before="40" w:after="40"/>
              <w:ind w:left="397" w:hanging="397"/>
              <w:rPr>
                <w:rFonts w:ascii="Arial" w:hAnsi="Arial" w:cs="Arial"/>
                <w:sz w:val="18"/>
                <w:szCs w:val="18"/>
              </w:rPr>
            </w:pPr>
            <w:r w:rsidRPr="00F442B8">
              <w:rPr>
                <w:rFonts w:ascii="Arial" w:hAnsi="Arial" w:cs="Arial"/>
                <w:sz w:val="18"/>
                <w:szCs w:val="18"/>
              </w:rPr>
              <w:t>2</w:t>
            </w:r>
            <w:r w:rsidRPr="00F442B8">
              <w:rPr>
                <w:rFonts w:ascii="Arial" w:hAnsi="Arial" w:cs="Arial"/>
                <w:sz w:val="18"/>
                <w:szCs w:val="18"/>
              </w:rPr>
              <w:tab/>
              <w:t>Determines the goal of treatment and considers consumer, drug and dosage form factors likely to impact on treatment options.</w:t>
            </w:r>
          </w:p>
        </w:tc>
        <w:tc>
          <w:tcPr>
            <w:tcW w:w="6237" w:type="dxa"/>
            <w:shd w:val="clear" w:color="auto" w:fill="DBE5F1" w:themeFill="accent1" w:themeFillTint="33"/>
          </w:tcPr>
          <w:p w:rsidR="00E10391" w:rsidRPr="00F442B8" w:rsidRDefault="00E10391" w:rsidP="00E10391">
            <w:pPr>
              <w:numPr>
                <w:ilvl w:val="0"/>
                <w:numId w:val="24"/>
              </w:numPr>
              <w:spacing w:before="40" w:after="40"/>
              <w:ind w:left="284" w:hanging="284"/>
              <w:rPr>
                <w:rFonts w:ascii="Arial" w:hAnsi="Arial" w:cs="Arial"/>
                <w:sz w:val="18"/>
                <w:szCs w:val="18"/>
              </w:rPr>
            </w:pPr>
            <w:r w:rsidRPr="00F442B8">
              <w:rPr>
                <w:rFonts w:ascii="Arial" w:hAnsi="Arial" w:cs="Arial"/>
                <w:sz w:val="18"/>
                <w:szCs w:val="18"/>
              </w:rPr>
              <w:t>Ability to describe the intended therapeutic goal or outcome expected (e.g. amelioration or cure of symptoms, prevention of complications).</w:t>
            </w:r>
          </w:p>
          <w:p w:rsidR="00E10391" w:rsidRPr="00F442B8" w:rsidRDefault="00E10391" w:rsidP="00E10391">
            <w:pPr>
              <w:numPr>
                <w:ilvl w:val="0"/>
                <w:numId w:val="24"/>
              </w:numPr>
              <w:spacing w:before="40" w:after="40"/>
              <w:ind w:left="284"/>
              <w:rPr>
                <w:rFonts w:ascii="Arial" w:hAnsi="Arial" w:cs="Arial"/>
                <w:sz w:val="18"/>
                <w:szCs w:val="18"/>
              </w:rPr>
            </w:pPr>
            <w:r w:rsidRPr="00F442B8">
              <w:rPr>
                <w:rFonts w:ascii="Arial" w:hAnsi="Arial" w:cs="Arial"/>
                <w:sz w:val="18"/>
                <w:szCs w:val="18"/>
              </w:rPr>
              <w:t>Ability to identify consumer factors (e.g. language, literacy and numeracy skills, manual dexterity) and drug factors (e.g. potential for abuse, complex dosing regimen) that may limit the choice of therapeutic options.</w:t>
            </w:r>
          </w:p>
          <w:p w:rsidR="00E10391" w:rsidRPr="00F442B8" w:rsidRDefault="00E10391" w:rsidP="00E10391">
            <w:pPr>
              <w:numPr>
                <w:ilvl w:val="0"/>
                <w:numId w:val="24"/>
              </w:numPr>
              <w:spacing w:before="40" w:after="40"/>
              <w:ind w:left="284" w:hanging="284"/>
              <w:rPr>
                <w:rFonts w:ascii="Arial" w:hAnsi="Arial" w:cs="Arial"/>
                <w:sz w:val="18"/>
                <w:szCs w:val="18"/>
              </w:rPr>
            </w:pPr>
            <w:r w:rsidRPr="00F442B8">
              <w:rPr>
                <w:rFonts w:ascii="Arial" w:hAnsi="Arial" w:cs="Arial"/>
                <w:sz w:val="18"/>
                <w:szCs w:val="18"/>
              </w:rPr>
              <w:t>Ability to identify factors which may preclude the use of some treatment options (e.g. treatment with warfarin, pregnancy or breastfeeding).</w:t>
            </w:r>
          </w:p>
        </w:tc>
      </w:tr>
      <w:tr w:rsidR="00E10391" w:rsidRPr="00740183" w:rsidTr="00A66271">
        <w:trPr>
          <w:cantSplit/>
        </w:trPr>
        <w:tc>
          <w:tcPr>
            <w:tcW w:w="3686" w:type="dxa"/>
            <w:shd w:val="clear" w:color="auto" w:fill="DBE5F1" w:themeFill="accent1" w:themeFillTint="33"/>
          </w:tcPr>
          <w:p w:rsidR="00E10391" w:rsidRPr="00F442B8" w:rsidRDefault="00E10391" w:rsidP="00A66271">
            <w:pPr>
              <w:spacing w:before="40" w:after="40"/>
              <w:ind w:left="397" w:hanging="397"/>
              <w:rPr>
                <w:rFonts w:ascii="Arial" w:hAnsi="Arial" w:cs="Arial"/>
                <w:sz w:val="18"/>
                <w:szCs w:val="18"/>
              </w:rPr>
            </w:pPr>
            <w:r w:rsidRPr="00F442B8">
              <w:rPr>
                <w:rFonts w:ascii="Arial" w:hAnsi="Arial" w:cs="Arial"/>
                <w:sz w:val="18"/>
                <w:szCs w:val="18"/>
              </w:rPr>
              <w:lastRenderedPageBreak/>
              <w:t>3</w:t>
            </w:r>
            <w:r w:rsidRPr="00F442B8">
              <w:rPr>
                <w:rFonts w:ascii="Arial" w:hAnsi="Arial" w:cs="Arial"/>
                <w:sz w:val="18"/>
                <w:szCs w:val="18"/>
              </w:rPr>
              <w:tab/>
              <w:t>Identifies possible medicinal and non-medicinal treatment strategies or options.</w:t>
            </w:r>
          </w:p>
        </w:tc>
        <w:tc>
          <w:tcPr>
            <w:tcW w:w="6237" w:type="dxa"/>
            <w:shd w:val="clear" w:color="auto" w:fill="DBE5F1" w:themeFill="accent1" w:themeFillTint="33"/>
          </w:tcPr>
          <w:p w:rsidR="00E10391" w:rsidRPr="00F442B8" w:rsidRDefault="00E10391" w:rsidP="00E10391">
            <w:pPr>
              <w:numPr>
                <w:ilvl w:val="0"/>
                <w:numId w:val="24"/>
              </w:numPr>
              <w:spacing w:before="40" w:after="40"/>
              <w:ind w:left="284" w:hanging="284"/>
              <w:rPr>
                <w:rFonts w:ascii="Arial" w:hAnsi="Arial" w:cs="Arial"/>
                <w:sz w:val="18"/>
                <w:szCs w:val="18"/>
              </w:rPr>
            </w:pPr>
            <w:r w:rsidRPr="00F442B8">
              <w:rPr>
                <w:rFonts w:ascii="Arial" w:hAnsi="Arial" w:cs="Arial"/>
                <w:sz w:val="18"/>
                <w:szCs w:val="18"/>
              </w:rPr>
              <w:t>Ability to identify a range of medicinal and non-medicinal treatment options/strategies, including those for which there may be a relative or absolute contraindication.</w:t>
            </w:r>
          </w:p>
          <w:p w:rsidR="00E10391" w:rsidRPr="00F442B8" w:rsidRDefault="00E10391" w:rsidP="00E10391">
            <w:pPr>
              <w:numPr>
                <w:ilvl w:val="0"/>
                <w:numId w:val="24"/>
              </w:numPr>
              <w:spacing w:before="40" w:after="40"/>
              <w:ind w:left="284" w:hanging="284"/>
              <w:rPr>
                <w:rFonts w:ascii="Arial" w:hAnsi="Arial" w:cs="Arial"/>
                <w:sz w:val="18"/>
                <w:szCs w:val="18"/>
              </w:rPr>
            </w:pPr>
            <w:r w:rsidRPr="00F442B8">
              <w:rPr>
                <w:rFonts w:ascii="Arial" w:hAnsi="Arial" w:cs="Arial"/>
                <w:sz w:val="18"/>
                <w:szCs w:val="18"/>
              </w:rPr>
              <w:t>Ability to discuss treatment options in terms of coexisting diseases/conditions and current medication treatment regimen, presenting symptoms, their duration and the extent to which previous efforts have been successful.</w:t>
            </w:r>
          </w:p>
        </w:tc>
      </w:tr>
      <w:tr w:rsidR="00E10391" w:rsidRPr="00740183" w:rsidTr="00A66271">
        <w:trPr>
          <w:cantSplit/>
        </w:trPr>
        <w:tc>
          <w:tcPr>
            <w:tcW w:w="3686" w:type="dxa"/>
            <w:shd w:val="clear" w:color="auto" w:fill="DBE5F1" w:themeFill="accent1" w:themeFillTint="33"/>
          </w:tcPr>
          <w:p w:rsidR="00E10391" w:rsidRPr="00F442B8" w:rsidRDefault="00E10391" w:rsidP="00A66271">
            <w:pPr>
              <w:spacing w:before="40" w:after="40"/>
              <w:ind w:left="397" w:hanging="397"/>
              <w:rPr>
                <w:rFonts w:ascii="Arial" w:hAnsi="Arial" w:cs="Arial"/>
                <w:sz w:val="18"/>
                <w:szCs w:val="18"/>
              </w:rPr>
            </w:pPr>
            <w:r w:rsidRPr="00F442B8">
              <w:rPr>
                <w:rFonts w:ascii="Arial" w:hAnsi="Arial" w:cs="Arial"/>
                <w:sz w:val="18"/>
                <w:szCs w:val="18"/>
              </w:rPr>
              <w:t>4</w:t>
            </w:r>
            <w:r w:rsidRPr="00F442B8">
              <w:rPr>
                <w:rFonts w:ascii="Arial" w:hAnsi="Arial" w:cs="Arial"/>
                <w:sz w:val="18"/>
                <w:szCs w:val="18"/>
              </w:rPr>
              <w:tab/>
              <w:t>Assesses the potential for inappropriate use or abuse of selected medicinal treatments.</w:t>
            </w:r>
          </w:p>
        </w:tc>
        <w:tc>
          <w:tcPr>
            <w:tcW w:w="6237" w:type="dxa"/>
            <w:shd w:val="clear" w:color="auto" w:fill="DBE5F1" w:themeFill="accent1" w:themeFillTint="33"/>
          </w:tcPr>
          <w:p w:rsidR="00E10391" w:rsidRPr="00F442B8" w:rsidRDefault="00E10391" w:rsidP="002D6A3A">
            <w:pPr>
              <w:numPr>
                <w:ilvl w:val="0"/>
                <w:numId w:val="24"/>
              </w:numPr>
              <w:spacing w:before="40" w:after="40"/>
              <w:ind w:left="284"/>
              <w:rPr>
                <w:rFonts w:ascii="Arial" w:hAnsi="Arial" w:cs="Arial"/>
                <w:sz w:val="18"/>
                <w:szCs w:val="18"/>
              </w:rPr>
            </w:pPr>
            <w:r w:rsidRPr="00F442B8">
              <w:rPr>
                <w:rFonts w:ascii="Arial" w:hAnsi="Arial" w:cs="Arial"/>
                <w:sz w:val="18"/>
                <w:szCs w:val="18"/>
              </w:rPr>
              <w:t>Ability to make and justify a decision on whether or not to provide a medicine</w:t>
            </w:r>
            <w:r>
              <w:rPr>
                <w:rFonts w:ascii="Arial" w:hAnsi="Arial" w:cs="Arial"/>
                <w:sz w:val="18"/>
                <w:szCs w:val="18"/>
              </w:rPr>
              <w:t>, including a</w:t>
            </w:r>
            <w:r w:rsidRPr="00F442B8">
              <w:rPr>
                <w:rFonts w:ascii="Arial" w:hAnsi="Arial" w:cs="Arial"/>
                <w:sz w:val="18"/>
                <w:szCs w:val="18"/>
              </w:rPr>
              <w:t xml:space="preserve"> complex compounded product</w:t>
            </w:r>
            <w:r>
              <w:rPr>
                <w:rFonts w:ascii="Arial" w:hAnsi="Arial" w:cs="Arial"/>
                <w:sz w:val="18"/>
                <w:szCs w:val="18"/>
              </w:rPr>
              <w:t xml:space="preserve"> </w:t>
            </w:r>
            <w:r w:rsidRPr="00F442B8">
              <w:rPr>
                <w:rFonts w:ascii="Arial" w:hAnsi="Arial" w:cs="Arial"/>
                <w:sz w:val="18"/>
                <w:szCs w:val="18"/>
              </w:rPr>
              <w:t>that has potential for misuse or abuse.</w:t>
            </w:r>
          </w:p>
        </w:tc>
      </w:tr>
      <w:tr w:rsidR="00E10391" w:rsidRPr="00740183" w:rsidTr="00A66271">
        <w:trPr>
          <w:cantSplit/>
        </w:trPr>
        <w:tc>
          <w:tcPr>
            <w:tcW w:w="3686" w:type="dxa"/>
            <w:shd w:val="clear" w:color="auto" w:fill="DBE5F1" w:themeFill="accent1" w:themeFillTint="33"/>
          </w:tcPr>
          <w:p w:rsidR="00E10391" w:rsidRPr="00F442B8" w:rsidRDefault="00E10391" w:rsidP="00A66271">
            <w:pPr>
              <w:spacing w:before="40" w:after="40"/>
              <w:ind w:left="397" w:hanging="397"/>
              <w:rPr>
                <w:rFonts w:ascii="Arial" w:hAnsi="Arial" w:cs="Arial"/>
                <w:sz w:val="18"/>
                <w:szCs w:val="18"/>
              </w:rPr>
            </w:pPr>
            <w:r w:rsidRPr="00F442B8">
              <w:rPr>
                <w:rFonts w:ascii="Arial" w:hAnsi="Arial" w:cs="Arial"/>
                <w:sz w:val="18"/>
                <w:szCs w:val="18"/>
              </w:rPr>
              <w:t>5</w:t>
            </w:r>
            <w:r w:rsidRPr="00F442B8">
              <w:rPr>
                <w:rFonts w:ascii="Arial" w:hAnsi="Arial" w:cs="Arial"/>
                <w:sz w:val="18"/>
                <w:szCs w:val="18"/>
              </w:rPr>
              <w:tab/>
              <w:t>Considers the need to involve other health professionals or services.</w:t>
            </w:r>
          </w:p>
        </w:tc>
        <w:tc>
          <w:tcPr>
            <w:tcW w:w="6237" w:type="dxa"/>
            <w:shd w:val="clear" w:color="auto" w:fill="DBE5F1" w:themeFill="accent1" w:themeFillTint="33"/>
          </w:tcPr>
          <w:p w:rsidR="00E10391" w:rsidRPr="00F442B8" w:rsidRDefault="00E10391" w:rsidP="00E10391">
            <w:pPr>
              <w:numPr>
                <w:ilvl w:val="0"/>
                <w:numId w:val="24"/>
              </w:numPr>
              <w:spacing w:before="40" w:after="40"/>
              <w:ind w:left="284" w:hanging="284"/>
              <w:rPr>
                <w:rFonts w:ascii="Arial" w:hAnsi="Arial" w:cs="Arial"/>
                <w:sz w:val="18"/>
                <w:szCs w:val="18"/>
              </w:rPr>
            </w:pPr>
            <w:r w:rsidRPr="00F442B8">
              <w:rPr>
                <w:rFonts w:ascii="Arial" w:hAnsi="Arial" w:cs="Arial"/>
                <w:sz w:val="18"/>
                <w:szCs w:val="18"/>
              </w:rPr>
              <w:t>Ability to identify and/or describe circumstances where the intervention of another health professional (e.g. medical practitioner, nurse, physiotherapist, podiatrist) would be of benefit.</w:t>
            </w:r>
          </w:p>
          <w:p w:rsidR="00E10391" w:rsidRPr="00F442B8" w:rsidRDefault="00E10391" w:rsidP="00E10391">
            <w:pPr>
              <w:numPr>
                <w:ilvl w:val="0"/>
                <w:numId w:val="24"/>
              </w:numPr>
              <w:spacing w:before="40" w:after="40"/>
              <w:ind w:left="284"/>
              <w:rPr>
                <w:rFonts w:ascii="Arial" w:hAnsi="Arial" w:cs="Arial"/>
                <w:sz w:val="18"/>
                <w:szCs w:val="18"/>
              </w:rPr>
            </w:pPr>
            <w:r w:rsidRPr="00F442B8">
              <w:rPr>
                <w:rFonts w:ascii="Arial" w:hAnsi="Arial" w:cs="Arial"/>
                <w:sz w:val="18"/>
                <w:szCs w:val="18"/>
              </w:rPr>
              <w:t>Ability to identify and/or describe circumstances where an immediate rather than a conditional referral to a medical practitioner would be warranted (e.g. failure of therapy, acute deterioration of condition, symptom/condition outside the area of expertise/professional role of a pharmacist).</w:t>
            </w:r>
          </w:p>
        </w:tc>
      </w:tr>
      <w:tr w:rsidR="00E10391" w:rsidRPr="00F83B6B" w:rsidTr="00A66271">
        <w:trPr>
          <w:cantSplit/>
        </w:trPr>
        <w:tc>
          <w:tcPr>
            <w:tcW w:w="9923" w:type="dxa"/>
            <w:gridSpan w:val="2"/>
            <w:tcBorders>
              <w:bottom w:val="single" w:sz="4" w:space="0" w:color="auto"/>
            </w:tcBorders>
            <w:shd w:val="clear" w:color="auto" w:fill="FABF8F" w:themeFill="accent6" w:themeFillTint="99"/>
          </w:tcPr>
          <w:p w:rsidR="00E10391" w:rsidRPr="00F83B6B" w:rsidRDefault="00E10391" w:rsidP="00A66271">
            <w:pPr>
              <w:spacing w:before="40" w:after="40"/>
              <w:ind w:left="284" w:hanging="284"/>
              <w:rPr>
                <w:rFonts w:ascii="Arial" w:hAnsi="Arial" w:cs="Arial"/>
                <w:b/>
                <w:sz w:val="18"/>
                <w:szCs w:val="18"/>
              </w:rPr>
            </w:pPr>
            <w:r w:rsidRPr="00F83B6B">
              <w:rPr>
                <w:rFonts w:ascii="Arial" w:hAnsi="Arial" w:cs="Arial"/>
                <w:b/>
                <w:sz w:val="18"/>
                <w:szCs w:val="18"/>
              </w:rPr>
              <w:t xml:space="preserve">Element 3 – Initiate collaboration or onward referral </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keepNext/>
              <w:spacing w:before="40" w:after="40"/>
              <w:ind w:left="397" w:hanging="397"/>
              <w:rPr>
                <w:rFonts w:ascii="Arial" w:hAnsi="Arial" w:cs="Arial"/>
                <w:sz w:val="18"/>
                <w:szCs w:val="18"/>
              </w:rPr>
            </w:pPr>
            <w:r w:rsidRPr="00F83B6B">
              <w:rPr>
                <w:rFonts w:ascii="Arial" w:hAnsi="Arial" w:cs="Arial"/>
                <w:sz w:val="18"/>
                <w:szCs w:val="18"/>
              </w:rPr>
              <w:t>1</w:t>
            </w:r>
            <w:r w:rsidRPr="00F83B6B">
              <w:rPr>
                <w:rFonts w:ascii="Arial" w:hAnsi="Arial" w:cs="Arial"/>
                <w:sz w:val="18"/>
                <w:szCs w:val="18"/>
              </w:rPr>
              <w:tab/>
              <w:t>Explains the need to seek advice/assistance from other health professionals where self-care is considered inappropriate.</w:t>
            </w:r>
          </w:p>
        </w:tc>
        <w:tc>
          <w:tcPr>
            <w:tcW w:w="6237" w:type="dxa"/>
            <w:shd w:val="clear" w:color="auto" w:fill="DBE5F1" w:themeFill="accent1" w:themeFillTint="33"/>
          </w:tcPr>
          <w:p w:rsidR="00E10391" w:rsidRPr="00F83B6B" w:rsidRDefault="00E10391" w:rsidP="00E10391">
            <w:pPr>
              <w:keepNext/>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provide an explanation of the need for onward referral.</w:t>
            </w:r>
          </w:p>
          <w:p w:rsidR="00E10391" w:rsidRPr="00F83B6B" w:rsidRDefault="00E10391" w:rsidP="00E10391">
            <w:pPr>
              <w:keepNext/>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gain the consumer’s agreement for liaison with and/or referral to a heath practitioner of the consumer’s choice without engendering concern or other negative reactions.</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2</w:t>
            </w:r>
            <w:r w:rsidRPr="00F83B6B">
              <w:rPr>
                <w:rFonts w:ascii="Arial" w:hAnsi="Arial" w:cs="Arial"/>
                <w:sz w:val="18"/>
                <w:szCs w:val="18"/>
              </w:rPr>
              <w:tab/>
              <w:t>Undertakes onward referral of consumers in a manner consistent with professional standards and conventions.</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demonstrate and/or describe the professional standards and conventions applicable to onward referral of consumers or to promptly access that information.</w:t>
            </w:r>
          </w:p>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demonstrate use of a written and/or oral referral process that informs another health professional of the basis for the onward referral, advice or treatment already provided and pharmacist contact details.</w:t>
            </w:r>
          </w:p>
        </w:tc>
      </w:tr>
      <w:tr w:rsidR="00E10391" w:rsidRPr="00F83B6B" w:rsidTr="00A66271">
        <w:trPr>
          <w:cantSplit/>
        </w:trPr>
        <w:tc>
          <w:tcPr>
            <w:tcW w:w="3686" w:type="dxa"/>
            <w:tcBorders>
              <w:bottom w:val="single" w:sz="4" w:space="0" w:color="auto"/>
            </w:tcBorders>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3</w:t>
            </w:r>
            <w:r w:rsidRPr="00F83B6B">
              <w:rPr>
                <w:rFonts w:ascii="Arial" w:hAnsi="Arial" w:cs="Arial"/>
                <w:sz w:val="18"/>
                <w:szCs w:val="18"/>
              </w:rPr>
              <w:tab/>
              <w:t>Liaises and/or collaborates with other health professionals to whom consumers have been referred.</w:t>
            </w:r>
          </w:p>
        </w:tc>
        <w:tc>
          <w:tcPr>
            <w:tcW w:w="6237" w:type="dxa"/>
            <w:tcBorders>
              <w:bottom w:val="single" w:sz="4" w:space="0" w:color="auto"/>
            </w:tcBorders>
            <w:shd w:val="clear" w:color="auto" w:fill="DBE5F1" w:themeFill="accent1" w:themeFillTint="33"/>
          </w:tcPr>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describe collaborative efforts with other health professionals for the delivery of primary health care services.</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pStyle w:val="Header"/>
              <w:spacing w:before="40" w:after="40"/>
              <w:ind w:left="397" w:hanging="397"/>
              <w:rPr>
                <w:rFonts w:ascii="Arial" w:hAnsi="Arial" w:cs="Arial"/>
                <w:sz w:val="18"/>
                <w:szCs w:val="18"/>
              </w:rPr>
            </w:pPr>
            <w:r w:rsidRPr="00F83B6B">
              <w:rPr>
                <w:rFonts w:ascii="Arial" w:hAnsi="Arial" w:cs="Arial"/>
                <w:sz w:val="18"/>
                <w:szCs w:val="18"/>
              </w:rPr>
              <w:t>4</w:t>
            </w:r>
            <w:r w:rsidRPr="00F83B6B">
              <w:rPr>
                <w:rFonts w:ascii="Arial" w:hAnsi="Arial" w:cs="Arial"/>
                <w:sz w:val="18"/>
                <w:szCs w:val="18"/>
              </w:rPr>
              <w:tab/>
              <w:t>Acts to ensure consumers in need of emergency medical care are promptly directed to the most appropriate source of care.</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describe and/or promptly access information on appropriate lines of referral for medical emergencies (e.g. cardiac arrest, epileptic seizure, asthma attack, poisonings and overdose).</w:t>
            </w:r>
          </w:p>
        </w:tc>
      </w:tr>
    </w:tbl>
    <w:p w:rsidR="00E10391" w:rsidRPr="00F83B6B" w:rsidRDefault="00E10391" w:rsidP="00E10391">
      <w:pPr>
        <w:pStyle w:val="Header"/>
        <w:rPr>
          <w:rFonts w:ascii="Arial" w:hAnsi="Arial" w:cs="Arial"/>
          <w:sz w:val="18"/>
          <w:szCs w:val="18"/>
        </w:rPr>
      </w:pPr>
    </w:p>
    <w:p w:rsidR="00E10391" w:rsidRPr="00D80945" w:rsidRDefault="00E10391" w:rsidP="00E10391">
      <w:pPr>
        <w:pStyle w:val="Heading3"/>
        <w:rPr>
          <w:rFonts w:ascii="Arial" w:hAnsi="Arial" w:cs="Arial"/>
        </w:rPr>
      </w:pPr>
      <w:bookmarkStart w:id="31" w:name="_Toc377638253"/>
      <w:r w:rsidRPr="00D80945">
        <w:rPr>
          <w:rFonts w:ascii="Arial" w:hAnsi="Arial" w:cs="Arial"/>
          <w:color w:val="FF0000"/>
        </w:rPr>
        <w:t>Standard 6.2</w:t>
      </w:r>
      <w:r w:rsidRPr="00D80945">
        <w:rPr>
          <w:rFonts w:ascii="Arial" w:hAnsi="Arial" w:cs="Arial"/>
        </w:rPr>
        <w:t xml:space="preserve"> Deliver primary health care</w:t>
      </w:r>
      <w:bookmarkEnd w:id="31"/>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237"/>
      </w:tblGrid>
      <w:tr w:rsidR="00E10391" w:rsidRPr="00F83B6B" w:rsidTr="00A66271">
        <w:trPr>
          <w:cantSplit/>
          <w:tblHeader/>
        </w:trPr>
        <w:tc>
          <w:tcPr>
            <w:tcW w:w="3686" w:type="dxa"/>
            <w:tcBorders>
              <w:top w:val="nil"/>
              <w:left w:val="nil"/>
              <w:right w:val="nil"/>
            </w:tcBorders>
          </w:tcPr>
          <w:p w:rsidR="00E10391" w:rsidRPr="00F83B6B" w:rsidRDefault="00E10391" w:rsidP="00A66271">
            <w:pPr>
              <w:spacing w:before="40" w:after="40"/>
              <w:ind w:left="567" w:hanging="567"/>
              <w:rPr>
                <w:rFonts w:ascii="Arial" w:hAnsi="Arial" w:cs="Arial"/>
                <w:b/>
                <w:sz w:val="18"/>
                <w:szCs w:val="18"/>
              </w:rPr>
            </w:pPr>
          </w:p>
        </w:tc>
        <w:tc>
          <w:tcPr>
            <w:tcW w:w="6237" w:type="dxa"/>
            <w:tcBorders>
              <w:top w:val="nil"/>
              <w:left w:val="nil"/>
              <w:right w:val="nil"/>
            </w:tcBorders>
          </w:tcPr>
          <w:p w:rsidR="00E10391" w:rsidRPr="00F83B6B" w:rsidRDefault="00E10391" w:rsidP="00A66271">
            <w:pPr>
              <w:spacing w:before="40" w:after="40"/>
              <w:ind w:left="284" w:hanging="284"/>
              <w:jc w:val="right"/>
              <w:rPr>
                <w:rFonts w:ascii="Arial" w:hAnsi="Arial" w:cs="Arial"/>
                <w:b/>
                <w:i/>
                <w:sz w:val="18"/>
                <w:szCs w:val="18"/>
              </w:rPr>
            </w:pPr>
          </w:p>
        </w:tc>
      </w:tr>
      <w:tr w:rsidR="00E10391" w:rsidRPr="00F83B6B" w:rsidTr="00A66271">
        <w:trPr>
          <w:cantSplit/>
          <w:tblHeader/>
        </w:trPr>
        <w:tc>
          <w:tcPr>
            <w:tcW w:w="3686" w:type="dxa"/>
            <w:tcBorders>
              <w:bottom w:val="single" w:sz="4" w:space="0" w:color="auto"/>
            </w:tcBorders>
            <w:shd w:val="clear" w:color="auto" w:fill="548DD4" w:themeFill="text2" w:themeFillTint="99"/>
          </w:tcPr>
          <w:p w:rsidR="00E10391" w:rsidRPr="00F83B6B" w:rsidRDefault="00E10391" w:rsidP="00186360">
            <w:pPr>
              <w:spacing w:before="40" w:after="40"/>
              <w:ind w:left="567" w:hanging="567"/>
              <w:rPr>
                <w:rFonts w:ascii="Arial" w:hAnsi="Arial" w:cs="Arial"/>
                <w:b/>
                <w:sz w:val="18"/>
                <w:szCs w:val="18"/>
              </w:rPr>
            </w:pPr>
            <w:r w:rsidRPr="00F83B6B">
              <w:rPr>
                <w:rFonts w:ascii="Arial" w:hAnsi="Arial" w:cs="Arial"/>
                <w:b/>
                <w:sz w:val="18"/>
                <w:szCs w:val="18"/>
              </w:rPr>
              <w:t xml:space="preserve">Performance </w:t>
            </w:r>
            <w:r w:rsidR="00186360">
              <w:rPr>
                <w:rFonts w:ascii="Arial" w:hAnsi="Arial" w:cs="Arial"/>
                <w:b/>
                <w:sz w:val="18"/>
                <w:szCs w:val="18"/>
              </w:rPr>
              <w:t>c</w:t>
            </w:r>
            <w:r w:rsidRPr="00F83B6B">
              <w:rPr>
                <w:rFonts w:ascii="Arial" w:hAnsi="Arial" w:cs="Arial"/>
                <w:b/>
                <w:sz w:val="18"/>
                <w:szCs w:val="18"/>
              </w:rPr>
              <w:t>riteria</w:t>
            </w:r>
          </w:p>
        </w:tc>
        <w:tc>
          <w:tcPr>
            <w:tcW w:w="6237" w:type="dxa"/>
            <w:tcBorders>
              <w:bottom w:val="single" w:sz="4" w:space="0" w:color="auto"/>
            </w:tcBorders>
            <w:shd w:val="clear" w:color="auto" w:fill="548DD4" w:themeFill="text2" w:themeFillTint="99"/>
          </w:tcPr>
          <w:p w:rsidR="00E10391" w:rsidRPr="00F83B6B" w:rsidRDefault="00E10391" w:rsidP="00186360">
            <w:pPr>
              <w:spacing w:before="40" w:after="40"/>
              <w:ind w:left="284" w:hanging="284"/>
              <w:rPr>
                <w:rFonts w:ascii="Arial" w:hAnsi="Arial" w:cs="Arial"/>
                <w:b/>
                <w:sz w:val="18"/>
                <w:szCs w:val="18"/>
              </w:rPr>
            </w:pPr>
            <w:r w:rsidRPr="00F83B6B">
              <w:rPr>
                <w:rFonts w:ascii="Arial" w:hAnsi="Arial" w:cs="Arial"/>
                <w:b/>
                <w:sz w:val="18"/>
                <w:szCs w:val="18"/>
              </w:rPr>
              <w:t xml:space="preserve">Evidence </w:t>
            </w:r>
            <w:r w:rsidR="00186360">
              <w:rPr>
                <w:rFonts w:ascii="Arial" w:hAnsi="Arial" w:cs="Arial"/>
                <w:b/>
                <w:sz w:val="18"/>
                <w:szCs w:val="18"/>
              </w:rPr>
              <w:t>e</w:t>
            </w:r>
            <w:r w:rsidRPr="00F83B6B">
              <w:rPr>
                <w:rFonts w:ascii="Arial" w:hAnsi="Arial" w:cs="Arial"/>
                <w:b/>
                <w:sz w:val="18"/>
                <w:szCs w:val="18"/>
              </w:rPr>
              <w:t>xamples</w:t>
            </w:r>
          </w:p>
        </w:tc>
      </w:tr>
      <w:tr w:rsidR="00E10391" w:rsidRPr="00F83B6B" w:rsidTr="00A66271">
        <w:trPr>
          <w:cantSplit/>
        </w:trPr>
        <w:tc>
          <w:tcPr>
            <w:tcW w:w="9923" w:type="dxa"/>
            <w:gridSpan w:val="2"/>
            <w:tcBorders>
              <w:bottom w:val="single" w:sz="4" w:space="0" w:color="auto"/>
            </w:tcBorders>
            <w:shd w:val="clear" w:color="auto" w:fill="FABF8F" w:themeFill="accent6" w:themeFillTint="99"/>
          </w:tcPr>
          <w:p w:rsidR="00E10391" w:rsidRPr="00F83B6B" w:rsidRDefault="00E10391" w:rsidP="00A66271">
            <w:pPr>
              <w:spacing w:before="40" w:after="40"/>
              <w:ind w:left="284" w:hanging="284"/>
              <w:rPr>
                <w:rFonts w:ascii="Arial" w:hAnsi="Arial" w:cs="Arial"/>
                <w:b/>
                <w:sz w:val="18"/>
                <w:szCs w:val="18"/>
              </w:rPr>
            </w:pPr>
            <w:r w:rsidRPr="00F83B6B">
              <w:rPr>
                <w:rFonts w:ascii="Arial" w:hAnsi="Arial" w:cs="Arial"/>
                <w:b/>
                <w:sz w:val="18"/>
                <w:szCs w:val="18"/>
              </w:rPr>
              <w:t xml:space="preserve">Element 1 – Ensure the clinical appropriateness of medicines and health care products </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1</w:t>
            </w:r>
            <w:r w:rsidRPr="00F83B6B">
              <w:rPr>
                <w:rFonts w:ascii="Arial" w:hAnsi="Arial" w:cs="Arial"/>
                <w:sz w:val="18"/>
                <w:szCs w:val="18"/>
              </w:rPr>
              <w:tab/>
              <w:t>Establishes whether selected medicines or health care products are suitable for intended use.</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clarify the clinical need for which a medicine or health care product has been requested or selected.</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2</w:t>
            </w:r>
            <w:r w:rsidRPr="00F83B6B">
              <w:rPr>
                <w:rFonts w:ascii="Arial" w:hAnsi="Arial" w:cs="Arial"/>
                <w:sz w:val="18"/>
                <w:szCs w:val="18"/>
              </w:rPr>
              <w:tab/>
              <w:t>Assists consumers/carers to make informed choices on the selection of appropriate medicines or health care products.</w:t>
            </w:r>
          </w:p>
        </w:tc>
        <w:tc>
          <w:tcPr>
            <w:tcW w:w="6237" w:type="dxa"/>
            <w:shd w:val="clear" w:color="auto" w:fill="DBE5F1" w:themeFill="accent1" w:themeFillTint="33"/>
          </w:tcPr>
          <w:p w:rsidR="00E10391"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provide explanation and/or justification for clinical intervention where medicines or health care products may not be appropriate or are contraindicated.</w:t>
            </w:r>
            <w:r>
              <w:rPr>
                <w:rFonts w:ascii="Arial" w:hAnsi="Arial" w:cs="Arial"/>
                <w:sz w:val="18"/>
                <w:szCs w:val="18"/>
              </w:rPr>
              <w:t xml:space="preserve"> </w:t>
            </w:r>
          </w:p>
          <w:p w:rsidR="00E10391" w:rsidRPr="00F83B6B" w:rsidRDefault="00E10391" w:rsidP="00E10391">
            <w:pPr>
              <w:numPr>
                <w:ilvl w:val="0"/>
                <w:numId w:val="24"/>
              </w:numPr>
              <w:spacing w:before="40" w:after="40"/>
              <w:ind w:left="284" w:hanging="284"/>
              <w:rPr>
                <w:rFonts w:ascii="Arial" w:hAnsi="Arial" w:cs="Arial"/>
                <w:sz w:val="18"/>
                <w:szCs w:val="18"/>
              </w:rPr>
            </w:pPr>
            <w:r>
              <w:rPr>
                <w:rFonts w:ascii="Arial" w:hAnsi="Arial" w:cs="Arial"/>
                <w:sz w:val="18"/>
                <w:szCs w:val="18"/>
              </w:rPr>
              <w:t>Ability to differentiate circumstances where a complex compounded product is the most appropriate means of satisfying the consumer’s health care needs.</w:t>
            </w:r>
          </w:p>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provide explanation/justification for advice provided to consumers/carers on medicines or health care product selection.</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pStyle w:val="Header"/>
              <w:spacing w:before="40" w:after="40"/>
              <w:ind w:left="397" w:hanging="397"/>
              <w:rPr>
                <w:rFonts w:ascii="Arial" w:hAnsi="Arial" w:cs="Arial"/>
                <w:sz w:val="18"/>
                <w:szCs w:val="18"/>
              </w:rPr>
            </w:pPr>
            <w:r w:rsidRPr="00F83B6B">
              <w:rPr>
                <w:rFonts w:ascii="Arial" w:hAnsi="Arial" w:cs="Arial"/>
                <w:sz w:val="18"/>
                <w:szCs w:val="18"/>
              </w:rPr>
              <w:lastRenderedPageBreak/>
              <w:t>3</w:t>
            </w:r>
            <w:r w:rsidRPr="00F83B6B">
              <w:rPr>
                <w:rFonts w:ascii="Arial" w:hAnsi="Arial" w:cs="Arial"/>
                <w:sz w:val="18"/>
                <w:szCs w:val="18"/>
              </w:rPr>
              <w:tab/>
              <w:t>Recommends medicines (including dosing regimen and form) or health care products that will satisfy the consumer’s need and which are suitable and safe to use.</w:t>
            </w:r>
          </w:p>
        </w:tc>
        <w:tc>
          <w:tcPr>
            <w:tcW w:w="6237" w:type="dxa"/>
            <w:shd w:val="clear" w:color="auto" w:fill="DBE5F1" w:themeFill="accent1" w:themeFillTint="33"/>
          </w:tcPr>
          <w:p w:rsidR="00E10391"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recommend medicines (including dosing regimen and form) or health care products that will satisfy the consumer’s therapeutic need, taking into account their health beliefs and preferences.</w:t>
            </w:r>
          </w:p>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 xml:space="preserve">Ability to justify the </w:t>
            </w:r>
            <w:r>
              <w:rPr>
                <w:rFonts w:ascii="Arial" w:hAnsi="Arial" w:cs="Arial"/>
                <w:sz w:val="18"/>
                <w:szCs w:val="18"/>
              </w:rPr>
              <w:t>decision to recommend the use of a complex compounded product</w:t>
            </w:r>
            <w:r w:rsidRPr="00F83B6B">
              <w:rPr>
                <w:rFonts w:ascii="Arial" w:hAnsi="Arial" w:cs="Arial"/>
                <w:sz w:val="18"/>
                <w:szCs w:val="18"/>
              </w:rPr>
              <w:t xml:space="preserve"> in terms of consumer factors (e.g. medical conditions/disease states, age, weight, allergies, pregnancy and lactation), drug factors (e.g. bioavailability, pharmacokinetics, interactions, toxicity) or other factors that are likely to impact on </w:t>
            </w:r>
            <w:r>
              <w:rPr>
                <w:rFonts w:ascii="Arial" w:hAnsi="Arial" w:cs="Arial"/>
                <w:sz w:val="18"/>
                <w:szCs w:val="18"/>
              </w:rPr>
              <w:t>its</w:t>
            </w:r>
            <w:r w:rsidRPr="00F83B6B">
              <w:rPr>
                <w:rFonts w:ascii="Arial" w:hAnsi="Arial" w:cs="Arial"/>
                <w:sz w:val="18"/>
                <w:szCs w:val="18"/>
              </w:rPr>
              <w:t xml:space="preserve"> safety or suitability for use.</w:t>
            </w:r>
          </w:p>
        </w:tc>
      </w:tr>
      <w:tr w:rsidR="00E10391" w:rsidRPr="00F83B6B" w:rsidTr="00A66271">
        <w:trPr>
          <w:cantSplit/>
        </w:trPr>
        <w:tc>
          <w:tcPr>
            <w:tcW w:w="9923" w:type="dxa"/>
            <w:gridSpan w:val="2"/>
            <w:tcBorders>
              <w:bottom w:val="single" w:sz="4" w:space="0" w:color="auto"/>
            </w:tcBorders>
            <w:shd w:val="clear" w:color="auto" w:fill="FABF8F" w:themeFill="accent6" w:themeFillTint="99"/>
          </w:tcPr>
          <w:p w:rsidR="00E10391" w:rsidRPr="00F83B6B" w:rsidRDefault="00E10391" w:rsidP="00A66271">
            <w:pPr>
              <w:keepNext/>
              <w:spacing w:before="40" w:after="40"/>
              <w:ind w:left="284" w:hanging="284"/>
              <w:rPr>
                <w:rFonts w:ascii="Arial" w:hAnsi="Arial" w:cs="Arial"/>
                <w:b/>
                <w:sz w:val="18"/>
                <w:szCs w:val="18"/>
              </w:rPr>
            </w:pPr>
            <w:r w:rsidRPr="00F83B6B">
              <w:rPr>
                <w:rFonts w:ascii="Arial" w:hAnsi="Arial" w:cs="Arial"/>
                <w:b/>
                <w:sz w:val="18"/>
                <w:szCs w:val="18"/>
              </w:rPr>
              <w:t>Element 2 – Promote safe and effective use of medicines and health care products</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pStyle w:val="Header"/>
              <w:spacing w:before="40" w:after="40"/>
              <w:ind w:left="397" w:hanging="397"/>
              <w:rPr>
                <w:rFonts w:ascii="Arial" w:hAnsi="Arial" w:cs="Arial"/>
                <w:sz w:val="18"/>
                <w:szCs w:val="18"/>
              </w:rPr>
            </w:pPr>
            <w:r w:rsidRPr="00F83B6B">
              <w:rPr>
                <w:rFonts w:ascii="Arial" w:hAnsi="Arial" w:cs="Arial"/>
                <w:sz w:val="18"/>
                <w:szCs w:val="18"/>
              </w:rPr>
              <w:t>1</w:t>
            </w:r>
            <w:r w:rsidRPr="00F83B6B">
              <w:rPr>
                <w:rFonts w:ascii="Arial" w:hAnsi="Arial" w:cs="Arial"/>
                <w:sz w:val="18"/>
                <w:szCs w:val="18"/>
              </w:rPr>
              <w:tab/>
              <w:t>Assesses the consumer’s need for information about the selected or recommended medicine or health care product.</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Ability to ask questions, listen and watch to determine the consumer’s level of understanding and their need for additional information or demonstration of technique for use or care.</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pStyle w:val="Header"/>
              <w:spacing w:before="40" w:after="40"/>
              <w:ind w:left="397" w:hanging="397"/>
              <w:rPr>
                <w:rFonts w:ascii="Arial" w:hAnsi="Arial" w:cs="Arial"/>
                <w:sz w:val="18"/>
                <w:szCs w:val="18"/>
              </w:rPr>
            </w:pPr>
            <w:r w:rsidRPr="00F83B6B">
              <w:rPr>
                <w:rFonts w:ascii="Arial" w:hAnsi="Arial" w:cs="Arial"/>
                <w:sz w:val="18"/>
                <w:szCs w:val="18"/>
              </w:rPr>
              <w:t>2</w:t>
            </w:r>
            <w:r w:rsidRPr="00F83B6B">
              <w:rPr>
                <w:rFonts w:ascii="Arial" w:hAnsi="Arial" w:cs="Arial"/>
                <w:sz w:val="18"/>
                <w:szCs w:val="18"/>
              </w:rPr>
              <w:tab/>
              <w:t>Provides advice about the selected/recommended medicine or health care product, using written consumer information resources as required for further clarification.</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explain, in terms appropriate for informing the consumer, about the </w:t>
            </w:r>
            <w:r>
              <w:rPr>
                <w:rFonts w:ascii="Arial" w:hAnsi="Arial" w:cs="Arial"/>
                <w:sz w:val="18"/>
                <w:szCs w:val="18"/>
              </w:rPr>
              <w:t>complex compounded product</w:t>
            </w:r>
            <w:r w:rsidRPr="00F83B6B">
              <w:rPr>
                <w:rFonts w:ascii="Arial" w:hAnsi="Arial" w:cs="Arial"/>
                <w:sz w:val="18"/>
                <w:szCs w:val="18"/>
              </w:rPr>
              <w:t xml:space="preserve"> and its use</w:t>
            </w:r>
            <w:r>
              <w:rPr>
                <w:rFonts w:ascii="Arial" w:hAnsi="Arial" w:cs="Arial"/>
                <w:sz w:val="18"/>
                <w:szCs w:val="18"/>
              </w:rPr>
              <w:t xml:space="preserve"> and place in overall treatment regimen</w:t>
            </w:r>
            <w:r w:rsidRPr="00F83B6B">
              <w:rPr>
                <w:rFonts w:ascii="Arial" w:hAnsi="Arial" w:cs="Arial"/>
                <w:sz w:val="18"/>
                <w:szCs w:val="18"/>
              </w:rPr>
              <w:t>, the expected outcomes and actions to take should these outcomes not be achieved.</w:t>
            </w:r>
          </w:p>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use written information resources (e.g. cautionary and advisory labels, equipment instruction leaflets) to clarify or reinforce advice provided.</w:t>
            </w:r>
          </w:p>
        </w:tc>
      </w:tr>
      <w:tr w:rsidR="00E10391" w:rsidRPr="00740183" w:rsidTr="00A66271">
        <w:trPr>
          <w:cantSplit/>
        </w:trPr>
        <w:tc>
          <w:tcPr>
            <w:tcW w:w="3686" w:type="dxa"/>
            <w:shd w:val="clear" w:color="auto" w:fill="DBE5F1" w:themeFill="accent1" w:themeFillTint="33"/>
          </w:tcPr>
          <w:p w:rsidR="00E10391" w:rsidRPr="008A35B7" w:rsidRDefault="00E10391" w:rsidP="00A66271">
            <w:pPr>
              <w:pStyle w:val="Header"/>
              <w:spacing w:before="40" w:after="40"/>
              <w:ind w:left="397" w:hanging="397"/>
              <w:rPr>
                <w:rFonts w:ascii="Arial" w:hAnsi="Arial" w:cs="Arial"/>
                <w:sz w:val="18"/>
                <w:szCs w:val="18"/>
              </w:rPr>
            </w:pPr>
            <w:r w:rsidRPr="008A35B7">
              <w:rPr>
                <w:rFonts w:ascii="Arial" w:hAnsi="Arial" w:cs="Arial"/>
                <w:sz w:val="18"/>
                <w:szCs w:val="18"/>
              </w:rPr>
              <w:t>3</w:t>
            </w:r>
            <w:r w:rsidRPr="008A35B7">
              <w:rPr>
                <w:rFonts w:ascii="Arial" w:hAnsi="Arial" w:cs="Arial"/>
                <w:sz w:val="18"/>
                <w:szCs w:val="18"/>
              </w:rPr>
              <w:tab/>
              <w:t>Ensures that the consumer/carer understands how the medicine or health care product is to be used/administered.</w:t>
            </w:r>
          </w:p>
        </w:tc>
        <w:tc>
          <w:tcPr>
            <w:tcW w:w="6237" w:type="dxa"/>
            <w:shd w:val="clear" w:color="auto" w:fill="DBE5F1" w:themeFill="accent1" w:themeFillTint="33"/>
          </w:tcPr>
          <w:p w:rsidR="00E10391" w:rsidRPr="008A35B7" w:rsidRDefault="00E10391" w:rsidP="00E10391">
            <w:pPr>
              <w:numPr>
                <w:ilvl w:val="0"/>
                <w:numId w:val="24"/>
              </w:numPr>
              <w:spacing w:before="40" w:after="40"/>
              <w:ind w:left="284"/>
              <w:rPr>
                <w:rFonts w:ascii="Arial" w:hAnsi="Arial" w:cs="Arial"/>
                <w:sz w:val="18"/>
                <w:szCs w:val="18"/>
              </w:rPr>
            </w:pPr>
            <w:r w:rsidRPr="008A35B7">
              <w:rPr>
                <w:rFonts w:ascii="Arial" w:hAnsi="Arial" w:cs="Arial"/>
                <w:sz w:val="18"/>
                <w:szCs w:val="18"/>
              </w:rPr>
              <w:t>Ability to check that the information provided has been understood (e.g. uses questions to confirm understanding, interprets cues that information has not been understood, and restates information in a different way to improve clarity).</w:t>
            </w:r>
          </w:p>
          <w:p w:rsidR="00E10391" w:rsidRPr="008A35B7" w:rsidRDefault="00E10391" w:rsidP="00E10391">
            <w:pPr>
              <w:numPr>
                <w:ilvl w:val="0"/>
                <w:numId w:val="24"/>
              </w:numPr>
              <w:spacing w:before="40" w:after="40"/>
              <w:ind w:left="284"/>
              <w:rPr>
                <w:rFonts w:ascii="Arial" w:hAnsi="Arial" w:cs="Arial"/>
                <w:sz w:val="18"/>
                <w:szCs w:val="18"/>
              </w:rPr>
            </w:pPr>
            <w:r w:rsidRPr="008A35B7">
              <w:rPr>
                <w:rFonts w:ascii="Arial" w:hAnsi="Arial" w:cs="Arial"/>
                <w:sz w:val="18"/>
                <w:szCs w:val="18"/>
              </w:rPr>
              <w:t>Ability to check the consumer’s technique for using the recommended complex compounded product and any other associated health care product, aid or device.</w:t>
            </w:r>
          </w:p>
        </w:tc>
      </w:tr>
      <w:tr w:rsidR="00E10391" w:rsidRPr="00740183" w:rsidTr="00A66271">
        <w:trPr>
          <w:cantSplit/>
        </w:trPr>
        <w:tc>
          <w:tcPr>
            <w:tcW w:w="3686" w:type="dxa"/>
            <w:shd w:val="clear" w:color="auto" w:fill="DBE5F1" w:themeFill="accent1" w:themeFillTint="33"/>
          </w:tcPr>
          <w:p w:rsidR="00E10391" w:rsidRPr="008A35B7" w:rsidRDefault="00E10391" w:rsidP="00A66271">
            <w:pPr>
              <w:spacing w:before="40" w:after="40"/>
              <w:ind w:left="397" w:hanging="397"/>
              <w:rPr>
                <w:rFonts w:ascii="Arial" w:hAnsi="Arial" w:cs="Arial"/>
                <w:sz w:val="18"/>
                <w:szCs w:val="18"/>
              </w:rPr>
            </w:pPr>
            <w:r w:rsidRPr="008A35B7">
              <w:rPr>
                <w:rFonts w:ascii="Arial" w:hAnsi="Arial" w:cs="Arial"/>
                <w:sz w:val="18"/>
                <w:szCs w:val="18"/>
              </w:rPr>
              <w:t>4</w:t>
            </w:r>
            <w:r w:rsidRPr="008A35B7">
              <w:rPr>
                <w:rFonts w:ascii="Arial" w:hAnsi="Arial" w:cs="Arial"/>
                <w:sz w:val="18"/>
                <w:szCs w:val="18"/>
              </w:rPr>
              <w:tab/>
              <w:t>Works with the consumer/carer to positively impact on the benefits derived from use of a recommended medicine or product.</w:t>
            </w:r>
          </w:p>
        </w:tc>
        <w:tc>
          <w:tcPr>
            <w:tcW w:w="6237" w:type="dxa"/>
            <w:shd w:val="clear" w:color="auto" w:fill="DBE5F1" w:themeFill="accent1" w:themeFillTint="33"/>
          </w:tcPr>
          <w:p w:rsidR="00E10391" w:rsidRPr="008A35B7" w:rsidRDefault="00E10391" w:rsidP="00E10391">
            <w:pPr>
              <w:numPr>
                <w:ilvl w:val="0"/>
                <w:numId w:val="24"/>
              </w:numPr>
              <w:spacing w:before="40" w:after="40"/>
              <w:ind w:left="284"/>
              <w:rPr>
                <w:rFonts w:ascii="Arial" w:hAnsi="Arial" w:cs="Arial"/>
                <w:sz w:val="18"/>
                <w:szCs w:val="18"/>
              </w:rPr>
            </w:pPr>
            <w:r w:rsidRPr="008A35B7">
              <w:rPr>
                <w:rFonts w:ascii="Arial" w:hAnsi="Arial" w:cs="Arial"/>
                <w:sz w:val="18"/>
                <w:szCs w:val="18"/>
              </w:rPr>
              <w:t>Ability to identify other factors (e.g. fluid intake, dietary measures) that may assist the therapeutic actions of the recommended treatment or reduce exacerbations of symptoms/conditions.</w:t>
            </w:r>
          </w:p>
        </w:tc>
      </w:tr>
      <w:tr w:rsidR="00E10391" w:rsidRPr="00740183" w:rsidTr="00A66271">
        <w:trPr>
          <w:cantSplit/>
        </w:trPr>
        <w:tc>
          <w:tcPr>
            <w:tcW w:w="3686" w:type="dxa"/>
            <w:tcBorders>
              <w:bottom w:val="single" w:sz="4" w:space="0" w:color="auto"/>
            </w:tcBorders>
            <w:shd w:val="clear" w:color="auto" w:fill="DBE5F1" w:themeFill="accent1" w:themeFillTint="33"/>
          </w:tcPr>
          <w:p w:rsidR="00E10391" w:rsidRPr="008A35B7" w:rsidRDefault="00E10391" w:rsidP="00A66271">
            <w:pPr>
              <w:spacing w:before="40" w:after="40"/>
              <w:ind w:left="397" w:hanging="397"/>
              <w:rPr>
                <w:rFonts w:ascii="Arial" w:hAnsi="Arial" w:cs="Arial"/>
                <w:sz w:val="18"/>
                <w:szCs w:val="18"/>
              </w:rPr>
            </w:pPr>
            <w:r w:rsidRPr="008A35B7">
              <w:rPr>
                <w:rFonts w:ascii="Arial" w:hAnsi="Arial" w:cs="Arial"/>
                <w:sz w:val="18"/>
                <w:szCs w:val="18"/>
              </w:rPr>
              <w:t>5</w:t>
            </w:r>
            <w:r w:rsidRPr="008A35B7">
              <w:rPr>
                <w:rFonts w:ascii="Arial" w:hAnsi="Arial" w:cs="Arial"/>
                <w:sz w:val="18"/>
                <w:szCs w:val="18"/>
              </w:rPr>
              <w:tab/>
              <w:t>Undertakes follow-up of consumers where indicated to monitor progress and/or outcomes.</w:t>
            </w:r>
          </w:p>
        </w:tc>
        <w:tc>
          <w:tcPr>
            <w:tcW w:w="6237" w:type="dxa"/>
            <w:tcBorders>
              <w:bottom w:val="single" w:sz="4" w:space="0" w:color="auto"/>
            </w:tcBorders>
            <w:shd w:val="clear" w:color="auto" w:fill="DBE5F1" w:themeFill="accent1" w:themeFillTint="33"/>
          </w:tcPr>
          <w:p w:rsidR="00E10391" w:rsidRPr="008A35B7" w:rsidRDefault="00E10391" w:rsidP="00E10391">
            <w:pPr>
              <w:numPr>
                <w:ilvl w:val="0"/>
                <w:numId w:val="24"/>
              </w:numPr>
              <w:spacing w:before="40" w:after="40"/>
              <w:ind w:left="284"/>
              <w:rPr>
                <w:rFonts w:ascii="Arial" w:hAnsi="Arial" w:cs="Arial"/>
                <w:sz w:val="18"/>
                <w:szCs w:val="18"/>
              </w:rPr>
            </w:pPr>
            <w:r w:rsidRPr="008A35B7">
              <w:rPr>
                <w:rFonts w:ascii="Arial" w:hAnsi="Arial" w:cs="Arial"/>
                <w:sz w:val="18"/>
                <w:szCs w:val="18"/>
              </w:rPr>
              <w:t>Ability to discuss criteria by which consumers may be selected for follow-up (e.g. anxiety and/or poor capacity to understand medicines or dosing information, further information to be provided or referral to a medical practitioner).</w:t>
            </w:r>
          </w:p>
          <w:p w:rsidR="00E10391" w:rsidRPr="008A35B7" w:rsidRDefault="00E10391" w:rsidP="00E10391">
            <w:pPr>
              <w:numPr>
                <w:ilvl w:val="0"/>
                <w:numId w:val="24"/>
              </w:numPr>
              <w:spacing w:before="40" w:after="40"/>
              <w:ind w:left="284"/>
              <w:rPr>
                <w:rFonts w:ascii="Arial" w:hAnsi="Arial" w:cs="Arial"/>
                <w:sz w:val="18"/>
                <w:szCs w:val="18"/>
              </w:rPr>
            </w:pPr>
            <w:r w:rsidRPr="008A35B7">
              <w:rPr>
                <w:rFonts w:ascii="Arial" w:hAnsi="Arial" w:cs="Arial"/>
                <w:sz w:val="18"/>
                <w:szCs w:val="18"/>
              </w:rPr>
              <w:t>Ability to undertake follow-up in a manner that is consistent with consumer expectations and/or consent.</w:t>
            </w:r>
          </w:p>
        </w:tc>
      </w:tr>
      <w:tr w:rsidR="00E10391" w:rsidRPr="00F83B6B" w:rsidTr="00A66271">
        <w:trPr>
          <w:cantSplit/>
        </w:trPr>
        <w:tc>
          <w:tcPr>
            <w:tcW w:w="9923" w:type="dxa"/>
            <w:gridSpan w:val="2"/>
            <w:tcBorders>
              <w:bottom w:val="single" w:sz="4" w:space="0" w:color="auto"/>
            </w:tcBorders>
            <w:shd w:val="clear" w:color="auto" w:fill="FABF8F" w:themeFill="accent6" w:themeFillTint="99"/>
          </w:tcPr>
          <w:p w:rsidR="00E10391" w:rsidRPr="00F83B6B" w:rsidRDefault="00E10391" w:rsidP="00A66271">
            <w:pPr>
              <w:spacing w:before="40" w:after="40"/>
              <w:ind w:left="284" w:hanging="284"/>
              <w:rPr>
                <w:rFonts w:ascii="Arial" w:hAnsi="Arial" w:cs="Arial"/>
                <w:b/>
                <w:sz w:val="18"/>
                <w:szCs w:val="18"/>
              </w:rPr>
            </w:pPr>
            <w:r w:rsidRPr="00F83B6B">
              <w:rPr>
                <w:rFonts w:ascii="Arial" w:hAnsi="Arial" w:cs="Arial"/>
                <w:b/>
                <w:sz w:val="18"/>
                <w:szCs w:val="18"/>
              </w:rPr>
              <w:t>Element 3 – Support non-medicinal management options</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1</w:t>
            </w:r>
            <w:r w:rsidRPr="00F83B6B">
              <w:rPr>
                <w:rFonts w:ascii="Arial" w:hAnsi="Arial" w:cs="Arial"/>
                <w:sz w:val="18"/>
                <w:szCs w:val="18"/>
              </w:rPr>
              <w:tab/>
              <w:t>Explains reasons for advising against the use of medicines.</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hanging="284"/>
              <w:rPr>
                <w:rFonts w:ascii="Arial" w:hAnsi="Arial" w:cs="Arial"/>
                <w:sz w:val="18"/>
                <w:szCs w:val="18"/>
              </w:rPr>
            </w:pPr>
            <w:r w:rsidRPr="00F83B6B">
              <w:rPr>
                <w:rFonts w:ascii="Arial" w:hAnsi="Arial" w:cs="Arial"/>
                <w:sz w:val="18"/>
                <w:szCs w:val="18"/>
              </w:rPr>
              <w:t xml:space="preserve">Ability to identify and describe situations where the use of </w:t>
            </w:r>
            <w:r>
              <w:rPr>
                <w:rFonts w:ascii="Arial" w:hAnsi="Arial" w:cs="Arial"/>
                <w:sz w:val="18"/>
                <w:szCs w:val="18"/>
              </w:rPr>
              <w:t xml:space="preserve">complex compounded products and other </w:t>
            </w:r>
            <w:r w:rsidRPr="00F83B6B">
              <w:rPr>
                <w:rFonts w:ascii="Arial" w:hAnsi="Arial" w:cs="Arial"/>
                <w:sz w:val="18"/>
                <w:szCs w:val="18"/>
              </w:rPr>
              <w:t>medicines is either not indicated or is likely to be of limited benefit.</w:t>
            </w:r>
          </w:p>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explain/justify decisions for advising against medicines treatment.</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t>2</w:t>
            </w:r>
            <w:r w:rsidRPr="00F83B6B">
              <w:rPr>
                <w:rFonts w:ascii="Arial" w:hAnsi="Arial" w:cs="Arial"/>
                <w:sz w:val="18"/>
                <w:szCs w:val="18"/>
              </w:rPr>
              <w:tab/>
              <w:t>Recommends non-medicinal interventions or actions to assist management of symptoms/conditions.</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identify and describe non-medicinal actions or interventions that may have a positive impact on the severity, frequency or duration of the symptoms/condition (e.g. dietary and sleeping habits or exercise routines or other lifestyle factors).</w:t>
            </w:r>
          </w:p>
        </w:tc>
      </w:tr>
      <w:tr w:rsidR="00E10391" w:rsidRPr="00F83B6B" w:rsidTr="00A66271">
        <w:trPr>
          <w:cantSplit/>
        </w:trPr>
        <w:tc>
          <w:tcPr>
            <w:tcW w:w="3686" w:type="dxa"/>
            <w:shd w:val="clear" w:color="auto" w:fill="DBE5F1" w:themeFill="accent1" w:themeFillTint="33"/>
          </w:tcPr>
          <w:p w:rsidR="00E10391" w:rsidRPr="00F83B6B" w:rsidRDefault="00ED7729" w:rsidP="00ED7729">
            <w:pPr>
              <w:spacing w:before="40" w:after="40"/>
              <w:ind w:left="397" w:hanging="397"/>
              <w:rPr>
                <w:rFonts w:ascii="Arial" w:hAnsi="Arial" w:cs="Arial"/>
                <w:sz w:val="18"/>
                <w:szCs w:val="18"/>
              </w:rPr>
            </w:pPr>
            <w:r>
              <w:rPr>
                <w:rFonts w:ascii="Arial" w:hAnsi="Arial" w:cs="Arial"/>
                <w:sz w:val="18"/>
                <w:szCs w:val="18"/>
              </w:rPr>
              <w:t>4</w:t>
            </w:r>
            <w:r w:rsidR="00E10391" w:rsidRPr="00F83B6B">
              <w:rPr>
                <w:rFonts w:ascii="Arial" w:hAnsi="Arial" w:cs="Arial"/>
                <w:sz w:val="18"/>
                <w:szCs w:val="18"/>
              </w:rPr>
              <w:tab/>
              <w:t>Offers suggestions for other possible sources of support or assistance.</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describe or promptly access information on relevant services, organisations or health programs that may offer support or assistance.</w:t>
            </w:r>
          </w:p>
        </w:tc>
      </w:tr>
      <w:tr w:rsidR="00E10391" w:rsidRPr="00F83B6B" w:rsidTr="00A66271">
        <w:trPr>
          <w:cantSplit/>
        </w:trPr>
        <w:tc>
          <w:tcPr>
            <w:tcW w:w="9923" w:type="dxa"/>
            <w:gridSpan w:val="2"/>
            <w:shd w:val="clear" w:color="auto" w:fill="FABF8F" w:themeFill="accent6" w:themeFillTint="99"/>
          </w:tcPr>
          <w:p w:rsidR="00E10391" w:rsidRPr="00F83B6B" w:rsidRDefault="00E10391" w:rsidP="002D6A3A">
            <w:pPr>
              <w:spacing w:before="40" w:after="40"/>
              <w:rPr>
                <w:rFonts w:ascii="Arial" w:hAnsi="Arial" w:cs="Arial"/>
                <w:sz w:val="18"/>
                <w:szCs w:val="18"/>
              </w:rPr>
            </w:pPr>
            <w:r>
              <w:br w:type="page"/>
            </w:r>
            <w:r w:rsidRPr="00F83B6B">
              <w:rPr>
                <w:rFonts w:ascii="Arial" w:hAnsi="Arial" w:cs="Arial"/>
                <w:b/>
                <w:sz w:val="18"/>
                <w:szCs w:val="18"/>
              </w:rPr>
              <w:t xml:space="preserve">Element </w:t>
            </w:r>
            <w:r w:rsidR="002D6A3A">
              <w:rPr>
                <w:rFonts w:ascii="Arial" w:hAnsi="Arial" w:cs="Arial"/>
                <w:b/>
                <w:sz w:val="18"/>
                <w:szCs w:val="18"/>
              </w:rPr>
              <w:t>5</w:t>
            </w:r>
            <w:r w:rsidRPr="00F83B6B">
              <w:rPr>
                <w:rFonts w:ascii="Arial" w:hAnsi="Arial" w:cs="Arial"/>
                <w:b/>
                <w:sz w:val="18"/>
                <w:szCs w:val="18"/>
              </w:rPr>
              <w:t xml:space="preserve"> – Manage records for primary health care services</w:t>
            </w:r>
          </w:p>
        </w:tc>
      </w:tr>
      <w:tr w:rsidR="00E10391" w:rsidRPr="00F83B6B" w:rsidTr="00A66271">
        <w:trPr>
          <w:cantSplit/>
        </w:trPr>
        <w:tc>
          <w:tcPr>
            <w:tcW w:w="3686" w:type="dxa"/>
            <w:shd w:val="clear" w:color="auto" w:fill="DBE5F1" w:themeFill="accent1" w:themeFillTint="33"/>
          </w:tcPr>
          <w:p w:rsidR="00E10391" w:rsidRPr="00F83B6B" w:rsidRDefault="00E10391" w:rsidP="00A66271">
            <w:pPr>
              <w:spacing w:before="40" w:after="40"/>
              <w:ind w:left="397" w:hanging="397"/>
              <w:rPr>
                <w:rFonts w:ascii="Arial" w:hAnsi="Arial" w:cs="Arial"/>
                <w:sz w:val="18"/>
                <w:szCs w:val="18"/>
              </w:rPr>
            </w:pPr>
            <w:r w:rsidRPr="00F83B6B">
              <w:rPr>
                <w:rFonts w:ascii="Arial" w:hAnsi="Arial" w:cs="Arial"/>
                <w:sz w:val="18"/>
                <w:szCs w:val="18"/>
              </w:rPr>
              <w:lastRenderedPageBreak/>
              <w:t>1</w:t>
            </w:r>
            <w:r w:rsidRPr="00F83B6B">
              <w:rPr>
                <w:rFonts w:ascii="Arial" w:hAnsi="Arial" w:cs="Arial"/>
                <w:sz w:val="18"/>
                <w:szCs w:val="18"/>
              </w:rPr>
              <w:tab/>
              <w:t>Ensures primary health care services, including progress and/or outcomes, are recorded accurately in the consumer medication record consistent with legislative requirements and professional standards and conventions.</w:t>
            </w:r>
          </w:p>
        </w:tc>
        <w:tc>
          <w:tcPr>
            <w:tcW w:w="6237" w:type="dxa"/>
            <w:shd w:val="clear" w:color="auto" w:fill="DBE5F1" w:themeFill="accent1" w:themeFillTint="33"/>
          </w:tcPr>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describe or promptly access information on legal and professional requirements for updating the consumer medication record.</w:t>
            </w:r>
          </w:p>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 xml:space="preserve">Ability to describe a system of documentation that captures details of the primary health care service provided, including advice, </w:t>
            </w:r>
            <w:r>
              <w:rPr>
                <w:rFonts w:ascii="Arial" w:hAnsi="Arial" w:cs="Arial"/>
                <w:sz w:val="18"/>
                <w:szCs w:val="18"/>
              </w:rPr>
              <w:t xml:space="preserve">product and product use </w:t>
            </w:r>
            <w:r w:rsidRPr="00F83B6B">
              <w:rPr>
                <w:rFonts w:ascii="Arial" w:hAnsi="Arial" w:cs="Arial"/>
                <w:sz w:val="18"/>
                <w:szCs w:val="18"/>
              </w:rPr>
              <w:t>recommendations, actions and interventions and progress or health outcomes achieved.</w:t>
            </w:r>
          </w:p>
          <w:p w:rsidR="00E10391" w:rsidRPr="00F83B6B" w:rsidRDefault="00E10391" w:rsidP="00E10391">
            <w:pPr>
              <w:numPr>
                <w:ilvl w:val="0"/>
                <w:numId w:val="24"/>
              </w:numPr>
              <w:spacing w:before="40" w:after="40"/>
              <w:ind w:left="284"/>
              <w:rPr>
                <w:rFonts w:ascii="Arial" w:hAnsi="Arial" w:cs="Arial"/>
                <w:sz w:val="18"/>
                <w:szCs w:val="18"/>
              </w:rPr>
            </w:pPr>
            <w:r w:rsidRPr="00F83B6B">
              <w:rPr>
                <w:rFonts w:ascii="Arial" w:hAnsi="Arial" w:cs="Arial"/>
                <w:sz w:val="18"/>
                <w:szCs w:val="18"/>
              </w:rPr>
              <w:t>Ability to demonstrate compliance with legal and professional requirements for recording primary health care services</w:t>
            </w:r>
            <w:r>
              <w:rPr>
                <w:rFonts w:ascii="Arial" w:hAnsi="Arial" w:cs="Arial"/>
                <w:sz w:val="18"/>
                <w:szCs w:val="18"/>
              </w:rPr>
              <w:t>, including those involving the recommended use of a complex compounded product</w:t>
            </w:r>
            <w:r w:rsidRPr="00F83B6B">
              <w:rPr>
                <w:rFonts w:ascii="Arial" w:hAnsi="Arial" w:cs="Arial"/>
                <w:sz w:val="18"/>
                <w:szCs w:val="18"/>
              </w:rPr>
              <w:t>.</w:t>
            </w:r>
          </w:p>
        </w:tc>
      </w:tr>
    </w:tbl>
    <w:p w:rsidR="00E10391" w:rsidRDefault="00E10391" w:rsidP="00E10391">
      <w:pPr>
        <w:pStyle w:val="Header"/>
        <w:rPr>
          <w:rFonts w:ascii="Arial" w:hAnsi="Arial" w:cs="Arial"/>
          <w:sz w:val="18"/>
          <w:szCs w:val="18"/>
        </w:rPr>
      </w:pPr>
    </w:p>
    <w:p w:rsidR="00E10391" w:rsidRPr="00034E1C" w:rsidRDefault="00E10391" w:rsidP="00E10391">
      <w:pPr>
        <w:pStyle w:val="Heading3"/>
        <w:rPr>
          <w:rFonts w:ascii="Arial" w:hAnsi="Arial" w:cs="Arial"/>
        </w:rPr>
      </w:pPr>
      <w:bookmarkStart w:id="32" w:name="_Toc377638254"/>
      <w:r w:rsidRPr="00034E1C">
        <w:rPr>
          <w:rFonts w:ascii="Arial" w:hAnsi="Arial" w:cs="Arial"/>
          <w:color w:val="FF0000"/>
        </w:rPr>
        <w:t>Standard 6.3</w:t>
      </w:r>
      <w:r w:rsidRPr="00034E1C">
        <w:rPr>
          <w:rFonts w:ascii="Arial" w:hAnsi="Arial" w:cs="Arial"/>
        </w:rPr>
        <w:t xml:space="preserve"> Contribute to public and preventive health</w:t>
      </w:r>
      <w:bookmarkEnd w:id="32"/>
    </w:p>
    <w:p w:rsidR="00E10391" w:rsidRPr="00034E1C" w:rsidRDefault="00E10391" w:rsidP="00E10391">
      <w:pPr>
        <w:rPr>
          <w:rFonts w:ascii="Arial" w:hAnsi="Arial" w:cs="Arial"/>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237"/>
      </w:tblGrid>
      <w:tr w:rsidR="00E10391" w:rsidTr="00A66271">
        <w:trPr>
          <w:cantSplit/>
        </w:trPr>
        <w:tc>
          <w:tcPr>
            <w:tcW w:w="9923" w:type="dxa"/>
            <w:gridSpan w:val="2"/>
            <w:tcBorders>
              <w:bottom w:val="single" w:sz="4" w:space="0" w:color="auto"/>
            </w:tcBorders>
            <w:shd w:val="clear" w:color="auto" w:fill="FABF8F" w:themeFill="accent6" w:themeFillTint="99"/>
          </w:tcPr>
          <w:p w:rsidR="00E10391" w:rsidRPr="00034E1C" w:rsidRDefault="00E10391" w:rsidP="00A66271">
            <w:pPr>
              <w:spacing w:before="40" w:after="40"/>
              <w:ind w:left="284" w:hanging="284"/>
              <w:rPr>
                <w:rFonts w:ascii="Arial" w:hAnsi="Arial" w:cs="Arial"/>
                <w:b/>
                <w:sz w:val="18"/>
                <w:szCs w:val="18"/>
              </w:rPr>
            </w:pPr>
            <w:r w:rsidRPr="00034E1C">
              <w:rPr>
                <w:rFonts w:ascii="Arial" w:hAnsi="Arial" w:cs="Arial"/>
                <w:b/>
                <w:sz w:val="18"/>
                <w:szCs w:val="18"/>
              </w:rPr>
              <w:t>Element 3 – Support consumer health literacy and self-management</w:t>
            </w:r>
          </w:p>
        </w:tc>
      </w:tr>
      <w:tr w:rsidR="00E10391" w:rsidTr="00A66271">
        <w:trPr>
          <w:cantSplit/>
        </w:trPr>
        <w:tc>
          <w:tcPr>
            <w:tcW w:w="3686" w:type="dxa"/>
            <w:shd w:val="clear" w:color="auto" w:fill="DBE5F1" w:themeFill="accent1" w:themeFillTint="33"/>
          </w:tcPr>
          <w:p w:rsidR="00E10391" w:rsidRPr="00034E1C" w:rsidRDefault="00E10391" w:rsidP="00A66271">
            <w:pPr>
              <w:spacing w:before="40" w:after="40"/>
              <w:ind w:left="397" w:hanging="397"/>
              <w:rPr>
                <w:rFonts w:ascii="Arial" w:hAnsi="Arial" w:cs="Arial"/>
                <w:sz w:val="18"/>
                <w:szCs w:val="18"/>
              </w:rPr>
            </w:pPr>
            <w:r w:rsidRPr="00034E1C">
              <w:rPr>
                <w:rFonts w:ascii="Arial" w:hAnsi="Arial" w:cs="Arial"/>
                <w:sz w:val="18"/>
                <w:szCs w:val="18"/>
              </w:rPr>
              <w:t>1</w:t>
            </w:r>
            <w:r w:rsidRPr="00034E1C">
              <w:rPr>
                <w:rFonts w:ascii="Arial" w:hAnsi="Arial" w:cs="Arial"/>
                <w:sz w:val="18"/>
                <w:szCs w:val="18"/>
              </w:rPr>
              <w:tab/>
              <w:t>Encourages and supports consumers to enhance their health literacy.</w:t>
            </w:r>
          </w:p>
        </w:tc>
        <w:tc>
          <w:tcPr>
            <w:tcW w:w="6237" w:type="dxa"/>
            <w:shd w:val="clear" w:color="auto" w:fill="DBE5F1" w:themeFill="accent1" w:themeFillTint="33"/>
          </w:tcPr>
          <w:p w:rsidR="00E10391" w:rsidRPr="00034E1C" w:rsidRDefault="00E10391" w:rsidP="00E10391">
            <w:pPr>
              <w:numPr>
                <w:ilvl w:val="0"/>
                <w:numId w:val="24"/>
              </w:numPr>
              <w:spacing w:before="40" w:after="40"/>
              <w:ind w:left="284" w:hanging="284"/>
              <w:rPr>
                <w:rFonts w:ascii="Arial" w:hAnsi="Arial" w:cs="Arial"/>
                <w:sz w:val="18"/>
                <w:szCs w:val="18"/>
              </w:rPr>
            </w:pPr>
            <w:r w:rsidRPr="00034E1C">
              <w:rPr>
                <w:rFonts w:ascii="Arial" w:hAnsi="Arial" w:cs="Arial"/>
                <w:sz w:val="18"/>
                <w:szCs w:val="18"/>
              </w:rPr>
              <w:t>Ability to discuss a partnership approach with consumers for building health literacy.</w:t>
            </w:r>
          </w:p>
          <w:p w:rsidR="00E10391" w:rsidRPr="00034E1C" w:rsidRDefault="00E10391" w:rsidP="00E10391">
            <w:pPr>
              <w:numPr>
                <w:ilvl w:val="0"/>
                <w:numId w:val="24"/>
              </w:numPr>
              <w:spacing w:before="40" w:after="40"/>
              <w:ind w:left="284" w:hanging="284"/>
              <w:rPr>
                <w:rFonts w:ascii="Arial" w:hAnsi="Arial" w:cs="Arial"/>
                <w:sz w:val="18"/>
                <w:szCs w:val="18"/>
              </w:rPr>
            </w:pPr>
            <w:r w:rsidRPr="00034E1C">
              <w:rPr>
                <w:rFonts w:ascii="Arial" w:hAnsi="Arial" w:cs="Arial"/>
                <w:sz w:val="18"/>
                <w:szCs w:val="18"/>
              </w:rPr>
              <w:t>Ability to discuss options for enhancing consumer access to reliable resources and information for maintaining health and wellness.</w:t>
            </w:r>
          </w:p>
          <w:p w:rsidR="00E10391" w:rsidRPr="00034E1C" w:rsidRDefault="00E10391" w:rsidP="00E10391">
            <w:pPr>
              <w:numPr>
                <w:ilvl w:val="0"/>
                <w:numId w:val="24"/>
              </w:numPr>
              <w:spacing w:before="40" w:after="40"/>
              <w:ind w:left="284" w:hanging="284"/>
              <w:rPr>
                <w:rFonts w:ascii="Arial" w:hAnsi="Arial" w:cs="Arial"/>
                <w:sz w:val="18"/>
                <w:szCs w:val="18"/>
              </w:rPr>
            </w:pPr>
            <w:r w:rsidRPr="00034E1C">
              <w:rPr>
                <w:rFonts w:ascii="Arial" w:hAnsi="Arial" w:cs="Arial"/>
                <w:sz w:val="18"/>
                <w:szCs w:val="18"/>
              </w:rPr>
              <w:t>Ability to discuss the importance of providing consumers with effective and relevant choices for maintaining their health.</w:t>
            </w:r>
          </w:p>
        </w:tc>
      </w:tr>
      <w:tr w:rsidR="00E10391" w:rsidRPr="004713D5" w:rsidTr="00A66271">
        <w:trPr>
          <w:cantSplit/>
        </w:trPr>
        <w:tc>
          <w:tcPr>
            <w:tcW w:w="3686" w:type="dxa"/>
            <w:shd w:val="clear" w:color="auto" w:fill="DBE5F1" w:themeFill="accent1" w:themeFillTint="33"/>
          </w:tcPr>
          <w:p w:rsidR="00E10391" w:rsidRPr="00034E1C" w:rsidRDefault="00E10391" w:rsidP="00A66271">
            <w:pPr>
              <w:spacing w:before="40" w:after="40"/>
              <w:ind w:left="397" w:hanging="397"/>
              <w:rPr>
                <w:rFonts w:ascii="Arial" w:hAnsi="Arial" w:cs="Arial"/>
                <w:sz w:val="18"/>
                <w:szCs w:val="18"/>
              </w:rPr>
            </w:pPr>
            <w:r w:rsidRPr="00034E1C">
              <w:rPr>
                <w:rFonts w:ascii="Arial" w:hAnsi="Arial" w:cs="Arial"/>
                <w:sz w:val="18"/>
                <w:szCs w:val="18"/>
              </w:rPr>
              <w:t>2</w:t>
            </w:r>
            <w:r w:rsidRPr="00034E1C">
              <w:rPr>
                <w:rFonts w:ascii="Arial" w:hAnsi="Arial" w:cs="Arial"/>
                <w:sz w:val="18"/>
                <w:szCs w:val="18"/>
              </w:rPr>
              <w:tab/>
              <w:t>Identifies consumers likely to benefit from provision of specific health and lifestyle advice.</w:t>
            </w:r>
          </w:p>
        </w:tc>
        <w:tc>
          <w:tcPr>
            <w:tcW w:w="6237" w:type="dxa"/>
            <w:shd w:val="clear" w:color="auto" w:fill="DBE5F1" w:themeFill="accent1" w:themeFillTint="33"/>
          </w:tcPr>
          <w:p w:rsidR="00E10391" w:rsidRPr="00034E1C" w:rsidRDefault="00E10391" w:rsidP="00E10391">
            <w:pPr>
              <w:numPr>
                <w:ilvl w:val="0"/>
                <w:numId w:val="24"/>
              </w:numPr>
              <w:spacing w:before="40" w:after="40"/>
              <w:ind w:left="284" w:hanging="284"/>
              <w:rPr>
                <w:rFonts w:ascii="Arial" w:hAnsi="Arial" w:cs="Arial"/>
                <w:sz w:val="18"/>
                <w:szCs w:val="18"/>
              </w:rPr>
            </w:pPr>
            <w:r w:rsidRPr="00034E1C">
              <w:rPr>
                <w:rFonts w:ascii="Arial" w:hAnsi="Arial" w:cs="Arial"/>
                <w:sz w:val="18"/>
                <w:szCs w:val="18"/>
              </w:rPr>
              <w:t>Ability to explain the behaviours that reflect readiness to respond to preventive health advice.</w:t>
            </w:r>
          </w:p>
          <w:p w:rsidR="00E10391" w:rsidRPr="00034E1C" w:rsidRDefault="00E10391" w:rsidP="00E10391">
            <w:pPr>
              <w:numPr>
                <w:ilvl w:val="0"/>
                <w:numId w:val="24"/>
              </w:numPr>
              <w:spacing w:before="40" w:after="40"/>
              <w:ind w:left="284" w:hanging="284"/>
              <w:rPr>
                <w:rFonts w:ascii="Arial" w:hAnsi="Arial" w:cs="Arial"/>
                <w:sz w:val="18"/>
                <w:szCs w:val="18"/>
              </w:rPr>
            </w:pPr>
            <w:r w:rsidRPr="00034E1C">
              <w:rPr>
                <w:rFonts w:ascii="Arial" w:hAnsi="Arial" w:cs="Arial"/>
                <w:sz w:val="18"/>
                <w:szCs w:val="18"/>
              </w:rPr>
              <w:t>Ability to describe consumer groups likely to benefit from targeted educational advice.</w:t>
            </w:r>
          </w:p>
        </w:tc>
      </w:tr>
      <w:tr w:rsidR="00E10391" w:rsidRPr="00D22D08" w:rsidTr="00A66271">
        <w:trPr>
          <w:cantSplit/>
        </w:trPr>
        <w:tc>
          <w:tcPr>
            <w:tcW w:w="3686" w:type="dxa"/>
            <w:shd w:val="clear" w:color="auto" w:fill="DBE5F1" w:themeFill="accent1" w:themeFillTint="33"/>
          </w:tcPr>
          <w:p w:rsidR="00E10391" w:rsidRPr="00034E1C" w:rsidRDefault="00E10391" w:rsidP="00A66271">
            <w:pPr>
              <w:pStyle w:val="Header"/>
              <w:spacing w:before="40" w:after="40"/>
              <w:ind w:left="397" w:hanging="397"/>
              <w:rPr>
                <w:rFonts w:ascii="Arial" w:hAnsi="Arial" w:cs="Arial"/>
                <w:sz w:val="18"/>
                <w:szCs w:val="18"/>
              </w:rPr>
            </w:pPr>
            <w:r w:rsidRPr="00034E1C">
              <w:rPr>
                <w:rFonts w:ascii="Arial" w:hAnsi="Arial" w:cs="Arial"/>
                <w:sz w:val="18"/>
                <w:szCs w:val="18"/>
              </w:rPr>
              <w:t>3</w:t>
            </w:r>
            <w:r w:rsidRPr="00034E1C">
              <w:rPr>
                <w:rFonts w:ascii="Arial" w:hAnsi="Arial" w:cs="Arial"/>
                <w:sz w:val="18"/>
                <w:szCs w:val="18"/>
              </w:rPr>
              <w:tab/>
              <w:t>Delivers responsible, consistent, evidence-based advice to consumers about the potential benefits of preventive health activities.</w:t>
            </w:r>
          </w:p>
        </w:tc>
        <w:tc>
          <w:tcPr>
            <w:tcW w:w="6237" w:type="dxa"/>
            <w:shd w:val="clear" w:color="auto" w:fill="DBE5F1" w:themeFill="accent1" w:themeFillTint="33"/>
          </w:tcPr>
          <w:p w:rsidR="00E10391" w:rsidRPr="00034E1C" w:rsidRDefault="00E10391" w:rsidP="00E10391">
            <w:pPr>
              <w:numPr>
                <w:ilvl w:val="0"/>
                <w:numId w:val="24"/>
              </w:numPr>
              <w:spacing w:before="40" w:after="40"/>
              <w:ind w:left="284"/>
              <w:rPr>
                <w:rFonts w:ascii="Arial" w:hAnsi="Arial" w:cs="Arial"/>
                <w:sz w:val="18"/>
                <w:szCs w:val="18"/>
              </w:rPr>
            </w:pPr>
            <w:r w:rsidRPr="00034E1C">
              <w:rPr>
                <w:rFonts w:ascii="Arial" w:hAnsi="Arial" w:cs="Arial"/>
                <w:sz w:val="18"/>
                <w:szCs w:val="18"/>
              </w:rPr>
              <w:t>Ability to provide relevant evidence-based preventive health/lifestyle advice (e.g. diet, smoking, exercise) to consumers without engendering resistance or other adverse reaction.</w:t>
            </w:r>
          </w:p>
          <w:p w:rsidR="00E10391" w:rsidRPr="00034E1C" w:rsidRDefault="00E10391" w:rsidP="00E10391">
            <w:pPr>
              <w:numPr>
                <w:ilvl w:val="0"/>
                <w:numId w:val="24"/>
              </w:numPr>
              <w:spacing w:before="40" w:after="40"/>
              <w:ind w:left="284"/>
              <w:rPr>
                <w:rFonts w:ascii="Arial" w:hAnsi="Arial" w:cs="Arial"/>
                <w:sz w:val="18"/>
                <w:szCs w:val="18"/>
              </w:rPr>
            </w:pPr>
            <w:r w:rsidRPr="00034E1C">
              <w:rPr>
                <w:rFonts w:ascii="Arial" w:hAnsi="Arial" w:cs="Arial"/>
                <w:sz w:val="18"/>
                <w:szCs w:val="18"/>
              </w:rPr>
              <w:t>Ability to provide information and advice in a form, format and language that promotes understanding.</w:t>
            </w:r>
          </w:p>
          <w:p w:rsidR="00E10391" w:rsidRPr="00034E1C" w:rsidRDefault="00E10391" w:rsidP="00E10391">
            <w:pPr>
              <w:numPr>
                <w:ilvl w:val="0"/>
                <w:numId w:val="24"/>
              </w:numPr>
              <w:spacing w:before="40" w:after="40"/>
              <w:ind w:left="284"/>
              <w:rPr>
                <w:rFonts w:ascii="Arial" w:hAnsi="Arial" w:cs="Arial"/>
                <w:sz w:val="18"/>
                <w:szCs w:val="18"/>
              </w:rPr>
            </w:pPr>
            <w:r w:rsidRPr="00034E1C">
              <w:rPr>
                <w:rFonts w:ascii="Arial" w:hAnsi="Arial" w:cs="Arial"/>
                <w:sz w:val="18"/>
                <w:szCs w:val="18"/>
              </w:rPr>
              <w:t>Ability to reinforce preventive health messages in a manner consistent with that provided to consumers by other members of the health care team.</w:t>
            </w:r>
          </w:p>
          <w:p w:rsidR="00E10391" w:rsidRPr="00034E1C" w:rsidRDefault="00E10391" w:rsidP="00E10391">
            <w:pPr>
              <w:numPr>
                <w:ilvl w:val="0"/>
                <w:numId w:val="24"/>
              </w:numPr>
              <w:spacing w:before="40" w:after="40"/>
              <w:ind w:left="284"/>
              <w:rPr>
                <w:rFonts w:ascii="Arial" w:hAnsi="Arial" w:cs="Arial"/>
                <w:sz w:val="18"/>
                <w:szCs w:val="18"/>
              </w:rPr>
            </w:pPr>
            <w:r w:rsidRPr="00034E1C">
              <w:rPr>
                <w:rFonts w:ascii="Arial" w:hAnsi="Arial" w:cs="Arial"/>
                <w:sz w:val="18"/>
                <w:szCs w:val="18"/>
              </w:rPr>
              <w:t>Ability to use electronic aids (e.g. PowerPoint presentation) and/or print materials (e.g. newsletters, posters, brochures) to support the delivery of public health information.</w:t>
            </w:r>
          </w:p>
        </w:tc>
      </w:tr>
      <w:tr w:rsidR="00E10391" w:rsidTr="00A66271">
        <w:trPr>
          <w:cantSplit/>
        </w:trPr>
        <w:tc>
          <w:tcPr>
            <w:tcW w:w="3686" w:type="dxa"/>
            <w:shd w:val="clear" w:color="auto" w:fill="DBE5F1" w:themeFill="accent1" w:themeFillTint="33"/>
          </w:tcPr>
          <w:p w:rsidR="00E10391" w:rsidRPr="00034E1C" w:rsidRDefault="00E10391" w:rsidP="00A66271">
            <w:pPr>
              <w:pStyle w:val="Header"/>
              <w:spacing w:before="40" w:after="40"/>
              <w:ind w:left="397" w:hanging="397"/>
              <w:rPr>
                <w:rFonts w:ascii="Arial" w:hAnsi="Arial" w:cs="Arial"/>
                <w:sz w:val="18"/>
                <w:szCs w:val="18"/>
              </w:rPr>
            </w:pPr>
            <w:r w:rsidRPr="00034E1C">
              <w:rPr>
                <w:rFonts w:ascii="Arial" w:hAnsi="Arial" w:cs="Arial"/>
                <w:sz w:val="18"/>
                <w:szCs w:val="18"/>
              </w:rPr>
              <w:t>4</w:t>
            </w:r>
            <w:r w:rsidRPr="00034E1C">
              <w:rPr>
                <w:rFonts w:ascii="Arial" w:hAnsi="Arial" w:cs="Arial"/>
                <w:sz w:val="18"/>
                <w:szCs w:val="18"/>
              </w:rPr>
              <w:tab/>
              <w:t>Confirms consumers’ understanding of risk factors and strategies for reducing the risk of disease.</w:t>
            </w:r>
          </w:p>
        </w:tc>
        <w:tc>
          <w:tcPr>
            <w:tcW w:w="6237" w:type="dxa"/>
            <w:shd w:val="clear" w:color="auto" w:fill="DBE5F1" w:themeFill="accent1" w:themeFillTint="33"/>
          </w:tcPr>
          <w:p w:rsidR="00E10391" w:rsidRPr="00034E1C" w:rsidRDefault="00E10391" w:rsidP="00E10391">
            <w:pPr>
              <w:numPr>
                <w:ilvl w:val="0"/>
                <w:numId w:val="24"/>
              </w:numPr>
              <w:spacing w:before="40" w:after="40"/>
              <w:ind w:left="284"/>
              <w:rPr>
                <w:rFonts w:ascii="Arial" w:hAnsi="Arial" w:cs="Arial"/>
                <w:sz w:val="18"/>
                <w:szCs w:val="18"/>
              </w:rPr>
            </w:pPr>
            <w:r w:rsidRPr="00034E1C">
              <w:rPr>
                <w:rFonts w:ascii="Arial" w:hAnsi="Arial" w:cs="Arial"/>
                <w:sz w:val="18"/>
                <w:szCs w:val="18"/>
              </w:rPr>
              <w:t>Ability to ask questions and seek feedback to assess consumer understanding.</w:t>
            </w:r>
          </w:p>
          <w:p w:rsidR="00E10391" w:rsidRPr="00034E1C" w:rsidRDefault="00E10391" w:rsidP="00E10391">
            <w:pPr>
              <w:numPr>
                <w:ilvl w:val="0"/>
                <w:numId w:val="24"/>
              </w:numPr>
              <w:spacing w:before="40" w:after="40"/>
              <w:ind w:left="284"/>
              <w:rPr>
                <w:rFonts w:ascii="Arial" w:hAnsi="Arial" w:cs="Arial"/>
                <w:sz w:val="18"/>
                <w:szCs w:val="18"/>
              </w:rPr>
            </w:pPr>
            <w:r w:rsidRPr="00034E1C">
              <w:rPr>
                <w:rFonts w:ascii="Arial" w:hAnsi="Arial" w:cs="Arial"/>
                <w:sz w:val="18"/>
                <w:szCs w:val="18"/>
              </w:rPr>
              <w:t>Ability to modify the form, format and/or language used to deliver information and advice to enhance understanding.</w:t>
            </w:r>
          </w:p>
        </w:tc>
      </w:tr>
      <w:tr w:rsidR="00E10391" w:rsidTr="00A66271">
        <w:trPr>
          <w:cantSplit/>
        </w:trPr>
        <w:tc>
          <w:tcPr>
            <w:tcW w:w="3686" w:type="dxa"/>
            <w:tcBorders>
              <w:bottom w:val="single" w:sz="4" w:space="0" w:color="auto"/>
            </w:tcBorders>
            <w:shd w:val="clear" w:color="auto" w:fill="DBE5F1" w:themeFill="accent1" w:themeFillTint="33"/>
          </w:tcPr>
          <w:p w:rsidR="00E10391" w:rsidRPr="00034E1C" w:rsidRDefault="00E10391" w:rsidP="00A66271">
            <w:pPr>
              <w:pStyle w:val="Header"/>
              <w:spacing w:before="40" w:after="40"/>
              <w:ind w:left="397" w:hanging="397"/>
              <w:rPr>
                <w:rFonts w:ascii="Arial" w:hAnsi="Arial" w:cs="Arial"/>
                <w:sz w:val="18"/>
                <w:szCs w:val="18"/>
              </w:rPr>
            </w:pPr>
            <w:r w:rsidRPr="00034E1C">
              <w:rPr>
                <w:rFonts w:ascii="Arial" w:hAnsi="Arial" w:cs="Arial"/>
                <w:sz w:val="18"/>
                <w:szCs w:val="18"/>
              </w:rPr>
              <w:t>5</w:t>
            </w:r>
            <w:r w:rsidRPr="00034E1C">
              <w:rPr>
                <w:rFonts w:ascii="Arial" w:hAnsi="Arial" w:cs="Arial"/>
                <w:sz w:val="18"/>
                <w:szCs w:val="18"/>
              </w:rPr>
              <w:tab/>
              <w:t>Supports and reinforces consumers’ efforts at self-management of their risk factors for disease.</w:t>
            </w:r>
          </w:p>
        </w:tc>
        <w:tc>
          <w:tcPr>
            <w:tcW w:w="6237" w:type="dxa"/>
            <w:tcBorders>
              <w:bottom w:val="single" w:sz="4" w:space="0" w:color="auto"/>
            </w:tcBorders>
            <w:shd w:val="clear" w:color="auto" w:fill="DBE5F1" w:themeFill="accent1" w:themeFillTint="33"/>
          </w:tcPr>
          <w:p w:rsidR="00E10391" w:rsidRPr="00034E1C" w:rsidRDefault="00E10391" w:rsidP="00E10391">
            <w:pPr>
              <w:numPr>
                <w:ilvl w:val="0"/>
                <w:numId w:val="24"/>
              </w:numPr>
              <w:spacing w:before="40" w:after="40"/>
              <w:ind w:left="284" w:hanging="284"/>
              <w:rPr>
                <w:rFonts w:ascii="Arial" w:hAnsi="Arial" w:cs="Arial"/>
                <w:sz w:val="18"/>
                <w:szCs w:val="18"/>
              </w:rPr>
            </w:pPr>
            <w:r w:rsidRPr="00034E1C">
              <w:rPr>
                <w:rFonts w:ascii="Arial" w:hAnsi="Arial" w:cs="Arial"/>
                <w:sz w:val="18"/>
                <w:szCs w:val="18"/>
              </w:rPr>
              <w:t>Ability to describe and/or demonstrate the use of a system for follow-up of consumers counselled about the need to modify their risk factor exposure.</w:t>
            </w:r>
          </w:p>
          <w:p w:rsidR="00E10391" w:rsidRPr="00034E1C" w:rsidRDefault="00E10391" w:rsidP="00E10391">
            <w:pPr>
              <w:numPr>
                <w:ilvl w:val="0"/>
                <w:numId w:val="24"/>
              </w:numPr>
              <w:spacing w:before="40" w:after="40"/>
              <w:ind w:left="284" w:hanging="284"/>
              <w:rPr>
                <w:rFonts w:ascii="Arial" w:hAnsi="Arial" w:cs="Arial"/>
                <w:sz w:val="18"/>
                <w:szCs w:val="18"/>
              </w:rPr>
            </w:pPr>
            <w:r w:rsidRPr="00034E1C">
              <w:rPr>
                <w:rFonts w:ascii="Arial" w:hAnsi="Arial" w:cs="Arial"/>
                <w:sz w:val="18"/>
                <w:szCs w:val="18"/>
              </w:rPr>
              <w:t>Ability to discuss strategies proven to be effective in motivating consumers to continue with preventive health activities/lifestyle choices.</w:t>
            </w:r>
          </w:p>
        </w:tc>
      </w:tr>
    </w:tbl>
    <w:p w:rsidR="00E10391" w:rsidRPr="00F83B6B" w:rsidRDefault="00E10391" w:rsidP="00E10391">
      <w:pPr>
        <w:pStyle w:val="Header"/>
        <w:rPr>
          <w:rFonts w:ascii="Arial" w:hAnsi="Arial" w:cs="Arial"/>
          <w:sz w:val="18"/>
          <w:szCs w:val="18"/>
        </w:rPr>
      </w:pPr>
    </w:p>
    <w:p w:rsidR="00E10391" w:rsidRPr="00D80945" w:rsidRDefault="00E10391" w:rsidP="00E10391">
      <w:pPr>
        <w:pStyle w:val="Heading2"/>
        <w:jc w:val="center"/>
        <w:rPr>
          <w:rFonts w:ascii="Arial" w:hAnsi="Arial" w:cs="Arial"/>
          <w:i w:val="0"/>
        </w:rPr>
      </w:pPr>
      <w:bookmarkStart w:id="33" w:name="_Toc377638255"/>
      <w:r w:rsidRPr="00D80945">
        <w:rPr>
          <w:rFonts w:ascii="Arial" w:hAnsi="Arial" w:cs="Arial"/>
          <w:i w:val="0"/>
          <w:color w:val="FF0000"/>
        </w:rPr>
        <w:t>Domain 8:</w:t>
      </w:r>
      <w:r w:rsidRPr="00D80945">
        <w:rPr>
          <w:rFonts w:ascii="Arial" w:hAnsi="Arial" w:cs="Arial"/>
          <w:i w:val="0"/>
        </w:rPr>
        <w:t xml:space="preserve"> Critical analysis, research and education</w:t>
      </w:r>
      <w:bookmarkEnd w:id="33"/>
    </w:p>
    <w:p w:rsidR="00E10391" w:rsidRPr="00D80945" w:rsidRDefault="00E10391" w:rsidP="00E10391">
      <w:pPr>
        <w:pStyle w:val="Heading3"/>
        <w:rPr>
          <w:rFonts w:ascii="Arial" w:hAnsi="Arial" w:cs="Arial"/>
        </w:rPr>
      </w:pPr>
      <w:bookmarkStart w:id="34" w:name="_Toc377638256"/>
      <w:r w:rsidRPr="00D80945">
        <w:rPr>
          <w:rFonts w:ascii="Arial" w:hAnsi="Arial" w:cs="Arial"/>
          <w:color w:val="FF0000"/>
        </w:rPr>
        <w:t>Standard 8.1</w:t>
      </w:r>
      <w:r w:rsidRPr="00D80945">
        <w:rPr>
          <w:rFonts w:ascii="Arial" w:hAnsi="Arial" w:cs="Arial"/>
        </w:rPr>
        <w:t xml:space="preserve"> Retrieve, analyse and</w:t>
      </w:r>
      <w:r w:rsidR="002B3FA3" w:rsidRPr="002B3FA3">
        <w:rPr>
          <w:rFonts w:ascii="Arial" w:hAnsi="Arial" w:cs="Arial"/>
          <w:lang w:val="en-AU"/>
        </w:rPr>
        <w:t xml:space="preserve"> synthesise</w:t>
      </w:r>
      <w:r w:rsidRPr="00D80945">
        <w:rPr>
          <w:rFonts w:ascii="Arial" w:hAnsi="Arial" w:cs="Arial"/>
        </w:rPr>
        <w:t xml:space="preserve"> information</w:t>
      </w:r>
      <w:bookmarkEnd w:id="34"/>
    </w:p>
    <w:p w:rsidR="00E10391" w:rsidRPr="00D80945" w:rsidRDefault="00E10391" w:rsidP="00E10391">
      <w:pPr>
        <w:rPr>
          <w:rFonts w:ascii="Arial" w:hAnsi="Arial" w:cs="Arial"/>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237"/>
      </w:tblGrid>
      <w:tr w:rsidR="00E10391" w:rsidRPr="001F5251" w:rsidTr="00A66271">
        <w:trPr>
          <w:cantSplit/>
          <w:tblHeader/>
        </w:trPr>
        <w:tc>
          <w:tcPr>
            <w:tcW w:w="3686" w:type="dxa"/>
            <w:tcBorders>
              <w:bottom w:val="single" w:sz="4" w:space="0" w:color="auto"/>
            </w:tcBorders>
            <w:shd w:val="clear" w:color="auto" w:fill="548DD4" w:themeFill="text2" w:themeFillTint="99"/>
          </w:tcPr>
          <w:p w:rsidR="00E10391" w:rsidRPr="001F5251" w:rsidRDefault="00E10391" w:rsidP="00186360">
            <w:pPr>
              <w:spacing w:before="40" w:after="40"/>
              <w:ind w:left="567" w:hanging="567"/>
              <w:rPr>
                <w:rFonts w:ascii="Arial" w:hAnsi="Arial" w:cs="Arial"/>
                <w:b/>
                <w:sz w:val="18"/>
                <w:szCs w:val="18"/>
              </w:rPr>
            </w:pPr>
            <w:r w:rsidRPr="001F5251">
              <w:rPr>
                <w:rFonts w:ascii="Arial" w:hAnsi="Arial" w:cs="Arial"/>
                <w:b/>
                <w:sz w:val="18"/>
                <w:szCs w:val="18"/>
              </w:rPr>
              <w:t xml:space="preserve">Performance </w:t>
            </w:r>
            <w:r w:rsidR="00186360">
              <w:rPr>
                <w:rFonts w:ascii="Arial" w:hAnsi="Arial" w:cs="Arial"/>
                <w:b/>
                <w:sz w:val="18"/>
                <w:szCs w:val="18"/>
              </w:rPr>
              <w:t>c</w:t>
            </w:r>
            <w:r w:rsidRPr="001F5251">
              <w:rPr>
                <w:rFonts w:ascii="Arial" w:hAnsi="Arial" w:cs="Arial"/>
                <w:b/>
                <w:sz w:val="18"/>
                <w:szCs w:val="18"/>
              </w:rPr>
              <w:t>riteria</w:t>
            </w:r>
          </w:p>
        </w:tc>
        <w:tc>
          <w:tcPr>
            <w:tcW w:w="6237" w:type="dxa"/>
            <w:tcBorders>
              <w:bottom w:val="single" w:sz="4" w:space="0" w:color="auto"/>
            </w:tcBorders>
            <w:shd w:val="clear" w:color="auto" w:fill="548DD4" w:themeFill="text2" w:themeFillTint="99"/>
          </w:tcPr>
          <w:p w:rsidR="00E10391" w:rsidRPr="001F5251" w:rsidRDefault="00E10391" w:rsidP="00186360">
            <w:pPr>
              <w:spacing w:before="40" w:after="40"/>
              <w:ind w:left="284" w:hanging="284"/>
              <w:rPr>
                <w:rFonts w:ascii="Arial" w:hAnsi="Arial" w:cs="Arial"/>
                <w:b/>
                <w:sz w:val="18"/>
                <w:szCs w:val="18"/>
              </w:rPr>
            </w:pPr>
            <w:r w:rsidRPr="001F5251">
              <w:rPr>
                <w:rFonts w:ascii="Arial" w:hAnsi="Arial" w:cs="Arial"/>
                <w:b/>
                <w:sz w:val="18"/>
                <w:szCs w:val="18"/>
              </w:rPr>
              <w:t xml:space="preserve">Evidence </w:t>
            </w:r>
            <w:r w:rsidR="00186360">
              <w:rPr>
                <w:rFonts w:ascii="Arial" w:hAnsi="Arial" w:cs="Arial"/>
                <w:b/>
                <w:sz w:val="18"/>
                <w:szCs w:val="18"/>
              </w:rPr>
              <w:t>e</w:t>
            </w:r>
            <w:r w:rsidRPr="001F5251">
              <w:rPr>
                <w:rFonts w:ascii="Arial" w:hAnsi="Arial" w:cs="Arial"/>
                <w:b/>
                <w:sz w:val="18"/>
                <w:szCs w:val="18"/>
              </w:rPr>
              <w:t>xamples</w:t>
            </w:r>
          </w:p>
        </w:tc>
      </w:tr>
      <w:tr w:rsidR="00E10391" w:rsidRPr="001F5251" w:rsidTr="00A66271">
        <w:trPr>
          <w:cantSplit/>
        </w:trPr>
        <w:tc>
          <w:tcPr>
            <w:tcW w:w="9923" w:type="dxa"/>
            <w:gridSpan w:val="2"/>
            <w:tcBorders>
              <w:bottom w:val="single" w:sz="4" w:space="0" w:color="auto"/>
            </w:tcBorders>
            <w:shd w:val="clear" w:color="auto" w:fill="FABF8F" w:themeFill="accent6" w:themeFillTint="99"/>
          </w:tcPr>
          <w:p w:rsidR="00E10391" w:rsidRPr="001F5251" w:rsidRDefault="00E10391" w:rsidP="00A66271">
            <w:pPr>
              <w:spacing w:before="40" w:after="40"/>
              <w:ind w:left="284" w:hanging="284"/>
              <w:rPr>
                <w:rFonts w:ascii="Arial" w:hAnsi="Arial" w:cs="Arial"/>
                <w:b/>
                <w:sz w:val="18"/>
                <w:szCs w:val="18"/>
              </w:rPr>
            </w:pPr>
            <w:r w:rsidRPr="001F5251">
              <w:rPr>
                <w:rFonts w:ascii="Arial" w:hAnsi="Arial" w:cs="Arial"/>
                <w:b/>
                <w:sz w:val="18"/>
                <w:szCs w:val="18"/>
              </w:rPr>
              <w:lastRenderedPageBreak/>
              <w:t>Element 1 – Manage information resources and systems</w:t>
            </w:r>
          </w:p>
        </w:tc>
      </w:tr>
      <w:tr w:rsidR="00E10391" w:rsidRPr="001F5251" w:rsidTr="00A66271">
        <w:trPr>
          <w:cantSplit/>
        </w:trPr>
        <w:tc>
          <w:tcPr>
            <w:tcW w:w="3686" w:type="dxa"/>
            <w:shd w:val="clear" w:color="auto" w:fill="DBE5F1" w:themeFill="accent1" w:themeFillTint="33"/>
          </w:tcPr>
          <w:p w:rsidR="00E10391" w:rsidRPr="001F5251" w:rsidRDefault="00E10391" w:rsidP="00A66271">
            <w:pPr>
              <w:spacing w:before="40" w:after="40"/>
              <w:ind w:left="397" w:hanging="397"/>
              <w:rPr>
                <w:rFonts w:ascii="Arial" w:hAnsi="Arial" w:cs="Arial"/>
                <w:sz w:val="18"/>
                <w:szCs w:val="18"/>
              </w:rPr>
            </w:pPr>
            <w:r w:rsidRPr="001F5251">
              <w:rPr>
                <w:rFonts w:ascii="Arial" w:hAnsi="Arial" w:cs="Arial"/>
                <w:sz w:val="18"/>
                <w:szCs w:val="18"/>
              </w:rPr>
              <w:t>1</w:t>
            </w:r>
            <w:r w:rsidRPr="001F5251">
              <w:rPr>
                <w:rFonts w:ascii="Arial" w:hAnsi="Arial" w:cs="Arial"/>
                <w:sz w:val="18"/>
                <w:szCs w:val="18"/>
              </w:rPr>
              <w:tab/>
              <w:t>Ensures information resources are sufficient and appropriate for the types of information usually requested/provided.</w:t>
            </w:r>
          </w:p>
        </w:tc>
        <w:tc>
          <w:tcPr>
            <w:tcW w:w="6237" w:type="dxa"/>
            <w:shd w:val="clear" w:color="auto" w:fill="DBE5F1" w:themeFill="accent1" w:themeFillTint="33"/>
          </w:tcPr>
          <w:p w:rsidR="00E10391" w:rsidRPr="001F5251" w:rsidRDefault="00E10391" w:rsidP="00E10391">
            <w:pPr>
              <w:numPr>
                <w:ilvl w:val="0"/>
                <w:numId w:val="24"/>
              </w:numPr>
              <w:spacing w:before="40" w:after="40"/>
              <w:ind w:left="284"/>
              <w:rPr>
                <w:rFonts w:ascii="Arial" w:hAnsi="Arial" w:cs="Arial"/>
                <w:sz w:val="18"/>
                <w:szCs w:val="18"/>
              </w:rPr>
            </w:pPr>
            <w:r w:rsidRPr="001F5251">
              <w:rPr>
                <w:rFonts w:ascii="Arial" w:hAnsi="Arial" w:cs="Arial"/>
                <w:sz w:val="18"/>
                <w:szCs w:val="18"/>
              </w:rPr>
              <w:t xml:space="preserve">Ability to justify the adequacy (e.g. relevant, current, accurate, evidence-based) of information resources held in terms of the volumes and types of information usually </w:t>
            </w:r>
            <w:r>
              <w:rPr>
                <w:rFonts w:ascii="Arial" w:hAnsi="Arial" w:cs="Arial"/>
                <w:sz w:val="18"/>
                <w:szCs w:val="18"/>
              </w:rPr>
              <w:t>sought or requested.</w:t>
            </w:r>
          </w:p>
          <w:p w:rsidR="00E10391" w:rsidRPr="001F5251" w:rsidRDefault="00E10391" w:rsidP="00E10391">
            <w:pPr>
              <w:numPr>
                <w:ilvl w:val="0"/>
                <w:numId w:val="24"/>
              </w:numPr>
              <w:spacing w:before="40" w:after="40"/>
              <w:ind w:left="284"/>
              <w:rPr>
                <w:rFonts w:ascii="Arial" w:hAnsi="Arial" w:cs="Arial"/>
                <w:sz w:val="18"/>
                <w:szCs w:val="18"/>
              </w:rPr>
            </w:pPr>
            <w:r w:rsidRPr="001F5251">
              <w:rPr>
                <w:rFonts w:ascii="Arial" w:hAnsi="Arial" w:cs="Arial"/>
                <w:sz w:val="18"/>
                <w:szCs w:val="18"/>
              </w:rPr>
              <w:t>Ability to explain and justify the criteria (e.g. quality of content, application and limitations, and cost) applied to evaluate the likely value of potential new information resources</w:t>
            </w:r>
            <w:r>
              <w:rPr>
                <w:rFonts w:ascii="Arial" w:hAnsi="Arial" w:cs="Arial"/>
                <w:sz w:val="18"/>
                <w:szCs w:val="18"/>
              </w:rPr>
              <w:t xml:space="preserve"> relevant to complex compounding</w:t>
            </w:r>
            <w:r w:rsidRPr="001F5251">
              <w:rPr>
                <w:rFonts w:ascii="Arial" w:hAnsi="Arial" w:cs="Arial"/>
                <w:sz w:val="18"/>
                <w:szCs w:val="18"/>
              </w:rPr>
              <w:t>.</w:t>
            </w:r>
          </w:p>
        </w:tc>
      </w:tr>
      <w:tr w:rsidR="00E10391" w:rsidRPr="001F5251" w:rsidTr="00A66271">
        <w:trPr>
          <w:cantSplit/>
        </w:trPr>
        <w:tc>
          <w:tcPr>
            <w:tcW w:w="3686" w:type="dxa"/>
          </w:tcPr>
          <w:p w:rsidR="00E10391" w:rsidRPr="001F5251" w:rsidRDefault="00E10391" w:rsidP="00A66271">
            <w:pPr>
              <w:spacing w:before="40" w:after="40"/>
              <w:ind w:left="397" w:hanging="397"/>
              <w:rPr>
                <w:rFonts w:ascii="Arial" w:hAnsi="Arial" w:cs="Arial"/>
                <w:sz w:val="18"/>
                <w:szCs w:val="18"/>
              </w:rPr>
            </w:pPr>
            <w:r w:rsidRPr="001F5251">
              <w:rPr>
                <w:rFonts w:ascii="Arial" w:hAnsi="Arial" w:cs="Arial"/>
                <w:sz w:val="18"/>
                <w:szCs w:val="18"/>
              </w:rPr>
              <w:t>2</w:t>
            </w:r>
            <w:r w:rsidRPr="001F5251">
              <w:rPr>
                <w:rFonts w:ascii="Arial" w:hAnsi="Arial" w:cs="Arial"/>
                <w:b/>
                <w:i/>
                <w:sz w:val="18"/>
                <w:szCs w:val="18"/>
              </w:rPr>
              <w:tab/>
            </w:r>
            <w:r w:rsidRPr="001F5251">
              <w:rPr>
                <w:rFonts w:ascii="Arial" w:hAnsi="Arial" w:cs="Arial"/>
                <w:sz w:val="18"/>
                <w:szCs w:val="18"/>
              </w:rPr>
              <w:t>Establishes search strategies for the most common types of information requested/needed.</w:t>
            </w:r>
          </w:p>
        </w:tc>
        <w:tc>
          <w:tcPr>
            <w:tcW w:w="6237" w:type="dxa"/>
          </w:tcPr>
          <w:p w:rsidR="00E10391" w:rsidRPr="001F5251" w:rsidRDefault="00E10391" w:rsidP="00E10391">
            <w:pPr>
              <w:numPr>
                <w:ilvl w:val="0"/>
                <w:numId w:val="24"/>
              </w:numPr>
              <w:spacing w:before="40" w:after="40"/>
              <w:ind w:left="284"/>
              <w:rPr>
                <w:rFonts w:ascii="Arial" w:hAnsi="Arial" w:cs="Arial"/>
                <w:sz w:val="18"/>
                <w:szCs w:val="18"/>
              </w:rPr>
            </w:pPr>
            <w:r w:rsidRPr="001F5251">
              <w:rPr>
                <w:rFonts w:ascii="Arial" w:hAnsi="Arial" w:cs="Arial"/>
                <w:sz w:val="18"/>
                <w:szCs w:val="18"/>
              </w:rPr>
              <w:t xml:space="preserve">Ability to produce a search strategy for various types of information </w:t>
            </w:r>
            <w:r>
              <w:rPr>
                <w:rFonts w:ascii="Arial" w:hAnsi="Arial" w:cs="Arial"/>
                <w:sz w:val="18"/>
                <w:szCs w:val="18"/>
              </w:rPr>
              <w:t xml:space="preserve">needed or </w:t>
            </w:r>
            <w:r w:rsidRPr="001F5251">
              <w:rPr>
                <w:rFonts w:ascii="Arial" w:hAnsi="Arial" w:cs="Arial"/>
                <w:sz w:val="18"/>
                <w:szCs w:val="18"/>
              </w:rPr>
              <w:t>request</w:t>
            </w:r>
            <w:r>
              <w:rPr>
                <w:rFonts w:ascii="Arial" w:hAnsi="Arial" w:cs="Arial"/>
                <w:sz w:val="18"/>
                <w:szCs w:val="18"/>
              </w:rPr>
              <w:t>ed</w:t>
            </w:r>
            <w:r w:rsidRPr="001F5251">
              <w:rPr>
                <w:rFonts w:ascii="Arial" w:hAnsi="Arial" w:cs="Arial"/>
                <w:sz w:val="18"/>
                <w:szCs w:val="18"/>
              </w:rPr>
              <w:t>.</w:t>
            </w:r>
          </w:p>
          <w:p w:rsidR="00E10391" w:rsidRPr="001F5251" w:rsidRDefault="00E10391" w:rsidP="00E10391">
            <w:pPr>
              <w:numPr>
                <w:ilvl w:val="0"/>
                <w:numId w:val="24"/>
              </w:numPr>
              <w:spacing w:before="40" w:after="40"/>
              <w:ind w:left="284"/>
              <w:rPr>
                <w:rFonts w:ascii="Arial" w:hAnsi="Arial" w:cs="Arial"/>
                <w:sz w:val="18"/>
                <w:szCs w:val="18"/>
              </w:rPr>
            </w:pPr>
            <w:r w:rsidRPr="001F5251">
              <w:rPr>
                <w:rFonts w:ascii="Arial" w:hAnsi="Arial" w:cs="Arial"/>
                <w:sz w:val="18"/>
                <w:szCs w:val="18"/>
              </w:rPr>
              <w:t>Ability to explain the logic in the cascade of information resources cited in specific search strategies.</w:t>
            </w:r>
          </w:p>
        </w:tc>
      </w:tr>
      <w:tr w:rsidR="00E10391" w:rsidRPr="001F5251" w:rsidTr="00A66271">
        <w:trPr>
          <w:cantSplit/>
        </w:trPr>
        <w:tc>
          <w:tcPr>
            <w:tcW w:w="3686" w:type="dxa"/>
          </w:tcPr>
          <w:p w:rsidR="00E10391" w:rsidRPr="001F5251" w:rsidRDefault="00E10391" w:rsidP="00A66271">
            <w:pPr>
              <w:spacing w:before="40" w:after="40"/>
              <w:ind w:left="397" w:hanging="397"/>
              <w:rPr>
                <w:rFonts w:ascii="Arial" w:hAnsi="Arial" w:cs="Arial"/>
                <w:sz w:val="18"/>
                <w:szCs w:val="18"/>
              </w:rPr>
            </w:pPr>
            <w:r w:rsidRPr="001F5251">
              <w:rPr>
                <w:rFonts w:ascii="Arial" w:hAnsi="Arial" w:cs="Arial"/>
                <w:sz w:val="18"/>
                <w:szCs w:val="18"/>
              </w:rPr>
              <w:t>3</w:t>
            </w:r>
            <w:r w:rsidRPr="001F5251">
              <w:rPr>
                <w:rFonts w:ascii="Arial" w:hAnsi="Arial" w:cs="Arial"/>
                <w:b/>
                <w:i/>
                <w:sz w:val="18"/>
                <w:szCs w:val="18"/>
              </w:rPr>
              <w:tab/>
            </w:r>
            <w:r w:rsidRPr="001F5251">
              <w:rPr>
                <w:rFonts w:ascii="Arial" w:hAnsi="Arial" w:cs="Arial"/>
                <w:sz w:val="18"/>
                <w:szCs w:val="18"/>
              </w:rPr>
              <w:t>Establishes conventions for setting information retrieval priorities.</w:t>
            </w:r>
          </w:p>
        </w:tc>
        <w:tc>
          <w:tcPr>
            <w:tcW w:w="6237" w:type="dxa"/>
          </w:tcPr>
          <w:p w:rsidR="00E10391" w:rsidRPr="001F5251" w:rsidRDefault="00E10391" w:rsidP="00E10391">
            <w:pPr>
              <w:numPr>
                <w:ilvl w:val="0"/>
                <w:numId w:val="24"/>
              </w:numPr>
              <w:spacing w:before="40" w:after="40"/>
              <w:ind w:left="284"/>
              <w:rPr>
                <w:rFonts w:ascii="Arial" w:hAnsi="Arial" w:cs="Arial"/>
                <w:sz w:val="18"/>
                <w:szCs w:val="18"/>
              </w:rPr>
            </w:pPr>
            <w:r w:rsidRPr="001F5251">
              <w:rPr>
                <w:rFonts w:ascii="Arial" w:hAnsi="Arial" w:cs="Arial"/>
                <w:sz w:val="18"/>
                <w:szCs w:val="18"/>
              </w:rPr>
              <w:t>Ability to explain conventions applicable to information retrieval priorities in terms of factors such as urgency of need, complexity of information sought, coexisting work requirements and available resources.</w:t>
            </w:r>
          </w:p>
        </w:tc>
      </w:tr>
      <w:tr w:rsidR="00E10391" w:rsidRPr="001F5251" w:rsidTr="00A66271">
        <w:trPr>
          <w:cantSplit/>
        </w:trPr>
        <w:tc>
          <w:tcPr>
            <w:tcW w:w="3686" w:type="dxa"/>
          </w:tcPr>
          <w:p w:rsidR="00E10391" w:rsidRPr="001F5251" w:rsidRDefault="00E10391" w:rsidP="00A66271">
            <w:pPr>
              <w:spacing w:before="40" w:after="40"/>
              <w:ind w:left="397" w:hanging="397"/>
              <w:rPr>
                <w:rFonts w:ascii="Arial" w:hAnsi="Arial" w:cs="Arial"/>
                <w:sz w:val="18"/>
                <w:szCs w:val="18"/>
              </w:rPr>
            </w:pPr>
            <w:r w:rsidRPr="001F5251">
              <w:rPr>
                <w:rFonts w:ascii="Arial" w:hAnsi="Arial" w:cs="Arial"/>
                <w:sz w:val="18"/>
                <w:szCs w:val="18"/>
              </w:rPr>
              <w:t>4</w:t>
            </w:r>
            <w:r w:rsidRPr="001F5251">
              <w:rPr>
                <w:rFonts w:ascii="Arial" w:hAnsi="Arial" w:cs="Arial"/>
                <w:sz w:val="18"/>
                <w:szCs w:val="18"/>
              </w:rPr>
              <w:tab/>
              <w:t>Develops a medicines and health information contact network.</w:t>
            </w:r>
          </w:p>
        </w:tc>
        <w:tc>
          <w:tcPr>
            <w:tcW w:w="6237" w:type="dxa"/>
          </w:tcPr>
          <w:p w:rsidR="00E10391" w:rsidRPr="001F5251" w:rsidRDefault="00E10391" w:rsidP="00E10391">
            <w:pPr>
              <w:numPr>
                <w:ilvl w:val="0"/>
                <w:numId w:val="24"/>
              </w:numPr>
              <w:spacing w:before="40" w:after="40"/>
              <w:ind w:left="284"/>
              <w:rPr>
                <w:rFonts w:ascii="Arial" w:hAnsi="Arial" w:cs="Arial"/>
                <w:sz w:val="18"/>
                <w:szCs w:val="18"/>
              </w:rPr>
            </w:pPr>
            <w:r w:rsidRPr="001F5251">
              <w:rPr>
                <w:rFonts w:ascii="Arial" w:hAnsi="Arial" w:cs="Arial"/>
                <w:sz w:val="18"/>
                <w:szCs w:val="18"/>
              </w:rPr>
              <w:t xml:space="preserve">Ability to describe the role/uses of information network contacts (e.g.  government departments and agencies, </w:t>
            </w:r>
            <w:r>
              <w:rPr>
                <w:rFonts w:ascii="Arial" w:hAnsi="Arial" w:cs="Arial"/>
                <w:sz w:val="18"/>
                <w:szCs w:val="18"/>
              </w:rPr>
              <w:t>educators and other professionals</w:t>
            </w:r>
            <w:r w:rsidRPr="001F5251">
              <w:rPr>
                <w:rFonts w:ascii="Arial" w:hAnsi="Arial" w:cs="Arial"/>
                <w:sz w:val="18"/>
                <w:szCs w:val="18"/>
              </w:rPr>
              <w:t xml:space="preserve"> </w:t>
            </w:r>
            <w:r>
              <w:rPr>
                <w:rFonts w:ascii="Arial" w:hAnsi="Arial" w:cs="Arial"/>
                <w:sz w:val="18"/>
                <w:szCs w:val="18"/>
              </w:rPr>
              <w:t>involved in complex compounding</w:t>
            </w:r>
            <w:r w:rsidRPr="001F5251">
              <w:rPr>
                <w:rFonts w:ascii="Arial" w:hAnsi="Arial" w:cs="Arial"/>
                <w:sz w:val="18"/>
                <w:szCs w:val="18"/>
              </w:rPr>
              <w:t>, pharmaceutical companies</w:t>
            </w:r>
            <w:r>
              <w:rPr>
                <w:rFonts w:ascii="Arial" w:hAnsi="Arial" w:cs="Arial"/>
                <w:sz w:val="18"/>
                <w:szCs w:val="18"/>
              </w:rPr>
              <w:t>, raw material and equipment suppliers</w:t>
            </w:r>
            <w:r w:rsidRPr="001F5251">
              <w:rPr>
                <w:rFonts w:ascii="Arial" w:hAnsi="Arial" w:cs="Arial"/>
                <w:sz w:val="18"/>
                <w:szCs w:val="18"/>
              </w:rPr>
              <w:t>).</w:t>
            </w:r>
          </w:p>
        </w:tc>
      </w:tr>
      <w:tr w:rsidR="00E10391" w:rsidRPr="001F5251" w:rsidTr="00A66271">
        <w:trPr>
          <w:cantSplit/>
        </w:trPr>
        <w:tc>
          <w:tcPr>
            <w:tcW w:w="3686" w:type="dxa"/>
          </w:tcPr>
          <w:p w:rsidR="00E10391" w:rsidRPr="001F5251" w:rsidRDefault="00E10391" w:rsidP="00A66271">
            <w:pPr>
              <w:spacing w:before="40" w:after="40"/>
              <w:ind w:left="397" w:hanging="397"/>
              <w:rPr>
                <w:rFonts w:ascii="Arial" w:hAnsi="Arial" w:cs="Arial"/>
                <w:sz w:val="18"/>
                <w:szCs w:val="18"/>
              </w:rPr>
            </w:pPr>
            <w:r>
              <w:rPr>
                <w:rFonts w:ascii="Arial" w:hAnsi="Arial" w:cs="Arial"/>
                <w:sz w:val="18"/>
                <w:szCs w:val="18"/>
              </w:rPr>
              <w:t>5</w:t>
            </w:r>
            <w:r w:rsidRPr="001F5251">
              <w:rPr>
                <w:rFonts w:ascii="Arial" w:hAnsi="Arial" w:cs="Arial"/>
                <w:sz w:val="18"/>
                <w:szCs w:val="18"/>
              </w:rPr>
              <w:tab/>
            </w:r>
            <w:r>
              <w:rPr>
                <w:rFonts w:ascii="Arial" w:hAnsi="Arial" w:cs="Arial"/>
                <w:sz w:val="18"/>
                <w:szCs w:val="18"/>
              </w:rPr>
              <w:t>Ensures accurate and complete records are securely stored and can be promptly retrieved.</w:t>
            </w:r>
          </w:p>
        </w:tc>
        <w:tc>
          <w:tcPr>
            <w:tcW w:w="6237" w:type="dxa"/>
          </w:tcPr>
          <w:p w:rsidR="00E10391" w:rsidRDefault="00E10391" w:rsidP="00E10391">
            <w:pPr>
              <w:numPr>
                <w:ilvl w:val="0"/>
                <w:numId w:val="24"/>
              </w:numPr>
              <w:spacing w:before="40" w:after="40"/>
              <w:ind w:left="284"/>
              <w:rPr>
                <w:rFonts w:ascii="Arial" w:hAnsi="Arial" w:cs="Arial"/>
                <w:sz w:val="18"/>
                <w:szCs w:val="18"/>
              </w:rPr>
            </w:pPr>
            <w:r>
              <w:rPr>
                <w:rFonts w:ascii="Arial" w:hAnsi="Arial" w:cs="Arial"/>
                <w:sz w:val="18"/>
                <w:szCs w:val="18"/>
              </w:rPr>
              <w:t>Ability to demonstrate the use of a standardised format for recording information searches, findings and how these were used for complex compounded products.</w:t>
            </w:r>
          </w:p>
          <w:p w:rsidR="00E10391" w:rsidRDefault="00E10391" w:rsidP="00E10391">
            <w:pPr>
              <w:numPr>
                <w:ilvl w:val="0"/>
                <w:numId w:val="24"/>
              </w:numPr>
              <w:spacing w:before="40" w:after="40"/>
              <w:ind w:left="284"/>
              <w:rPr>
                <w:rFonts w:ascii="Arial" w:hAnsi="Arial" w:cs="Arial"/>
                <w:sz w:val="18"/>
                <w:szCs w:val="18"/>
              </w:rPr>
            </w:pPr>
            <w:r>
              <w:rPr>
                <w:rFonts w:ascii="Arial" w:hAnsi="Arial" w:cs="Arial"/>
                <w:sz w:val="18"/>
                <w:szCs w:val="18"/>
              </w:rPr>
              <w:t>Ability to describe the conventions applied for storage of records.</w:t>
            </w:r>
          </w:p>
          <w:p w:rsidR="00E10391" w:rsidRDefault="00E10391" w:rsidP="00E10391">
            <w:pPr>
              <w:numPr>
                <w:ilvl w:val="0"/>
                <w:numId w:val="24"/>
              </w:numPr>
              <w:spacing w:before="40" w:after="40"/>
              <w:ind w:left="284"/>
              <w:rPr>
                <w:rFonts w:ascii="Arial" w:hAnsi="Arial" w:cs="Arial"/>
                <w:sz w:val="18"/>
                <w:szCs w:val="18"/>
              </w:rPr>
            </w:pPr>
            <w:r>
              <w:rPr>
                <w:rFonts w:ascii="Arial" w:hAnsi="Arial" w:cs="Arial"/>
                <w:sz w:val="18"/>
                <w:szCs w:val="18"/>
              </w:rPr>
              <w:t>Ability to apply a logical system for secure storage of records.</w:t>
            </w:r>
          </w:p>
          <w:p w:rsidR="00E10391" w:rsidRPr="001F5251" w:rsidRDefault="00E10391" w:rsidP="00E10391">
            <w:pPr>
              <w:numPr>
                <w:ilvl w:val="0"/>
                <w:numId w:val="24"/>
              </w:numPr>
              <w:spacing w:before="40" w:after="40"/>
              <w:ind w:left="284"/>
              <w:rPr>
                <w:rFonts w:ascii="Arial" w:hAnsi="Arial" w:cs="Arial"/>
                <w:sz w:val="18"/>
                <w:szCs w:val="18"/>
              </w:rPr>
            </w:pPr>
            <w:r>
              <w:rPr>
                <w:rFonts w:ascii="Arial" w:hAnsi="Arial" w:cs="Arial"/>
                <w:sz w:val="18"/>
                <w:szCs w:val="18"/>
              </w:rPr>
              <w:t>Ability to promptly and conveniently access securely stored records</w:t>
            </w:r>
          </w:p>
        </w:tc>
      </w:tr>
      <w:tr w:rsidR="00E10391" w:rsidRPr="001F5251" w:rsidTr="00A66271">
        <w:trPr>
          <w:cantSplit/>
        </w:trPr>
        <w:tc>
          <w:tcPr>
            <w:tcW w:w="9923" w:type="dxa"/>
            <w:gridSpan w:val="2"/>
            <w:tcBorders>
              <w:bottom w:val="single" w:sz="4" w:space="0" w:color="auto"/>
            </w:tcBorders>
            <w:shd w:val="clear" w:color="auto" w:fill="FABF8F" w:themeFill="accent6" w:themeFillTint="99"/>
          </w:tcPr>
          <w:p w:rsidR="00E10391" w:rsidRPr="001F5251" w:rsidRDefault="00E10391" w:rsidP="00A66271">
            <w:pPr>
              <w:spacing w:before="40" w:after="40"/>
              <w:ind w:left="284" w:hanging="284"/>
              <w:rPr>
                <w:rFonts w:ascii="Arial" w:hAnsi="Arial" w:cs="Arial"/>
                <w:b/>
                <w:sz w:val="18"/>
                <w:szCs w:val="18"/>
              </w:rPr>
            </w:pPr>
            <w:r w:rsidRPr="001F5251">
              <w:rPr>
                <w:rFonts w:ascii="Arial" w:hAnsi="Arial" w:cs="Arial"/>
                <w:b/>
                <w:sz w:val="18"/>
                <w:szCs w:val="18"/>
              </w:rPr>
              <w:t>Element 2 – Retrieve information</w:t>
            </w:r>
          </w:p>
        </w:tc>
      </w:tr>
      <w:tr w:rsidR="00E10391" w:rsidRPr="001F5251" w:rsidTr="00A66271">
        <w:trPr>
          <w:cantSplit/>
        </w:trPr>
        <w:tc>
          <w:tcPr>
            <w:tcW w:w="3686" w:type="dxa"/>
            <w:shd w:val="clear" w:color="auto" w:fill="DBE5F1" w:themeFill="accent1" w:themeFillTint="33"/>
          </w:tcPr>
          <w:p w:rsidR="00E10391" w:rsidRPr="001F5251" w:rsidRDefault="00E10391" w:rsidP="00A66271">
            <w:pPr>
              <w:spacing w:before="40" w:after="40"/>
              <w:ind w:left="397" w:hanging="397"/>
              <w:rPr>
                <w:rFonts w:ascii="Arial" w:hAnsi="Arial" w:cs="Arial"/>
                <w:sz w:val="18"/>
                <w:szCs w:val="18"/>
              </w:rPr>
            </w:pPr>
            <w:r w:rsidRPr="001F5251">
              <w:rPr>
                <w:rFonts w:ascii="Arial" w:hAnsi="Arial" w:cs="Arial"/>
                <w:sz w:val="18"/>
                <w:szCs w:val="18"/>
              </w:rPr>
              <w:t>1</w:t>
            </w:r>
            <w:r w:rsidRPr="001F5251">
              <w:rPr>
                <w:rFonts w:ascii="Arial" w:hAnsi="Arial" w:cs="Arial"/>
                <w:sz w:val="18"/>
                <w:szCs w:val="18"/>
              </w:rPr>
              <w:tab/>
              <w:t>Clarifies the nature and urgency of the required information.</w:t>
            </w:r>
          </w:p>
        </w:tc>
        <w:tc>
          <w:tcPr>
            <w:tcW w:w="6237" w:type="dxa"/>
            <w:shd w:val="clear" w:color="auto" w:fill="DBE5F1" w:themeFill="accent1" w:themeFillTint="33"/>
          </w:tcPr>
          <w:p w:rsidR="00E10391" w:rsidRPr="001F5251" w:rsidRDefault="00E10391" w:rsidP="00E10391">
            <w:pPr>
              <w:numPr>
                <w:ilvl w:val="0"/>
                <w:numId w:val="24"/>
              </w:numPr>
              <w:spacing w:before="40" w:after="40"/>
              <w:ind w:left="284" w:hanging="284"/>
              <w:rPr>
                <w:rFonts w:ascii="Arial" w:hAnsi="Arial" w:cs="Arial"/>
                <w:sz w:val="18"/>
                <w:szCs w:val="18"/>
              </w:rPr>
            </w:pPr>
            <w:r w:rsidRPr="001F5251">
              <w:rPr>
                <w:rFonts w:ascii="Arial" w:hAnsi="Arial" w:cs="Arial"/>
                <w:sz w:val="18"/>
                <w:szCs w:val="18"/>
              </w:rPr>
              <w:t xml:space="preserve">Ability to establish the urgency with which </w:t>
            </w:r>
            <w:r>
              <w:rPr>
                <w:rFonts w:ascii="Arial" w:hAnsi="Arial" w:cs="Arial"/>
                <w:sz w:val="18"/>
                <w:szCs w:val="18"/>
              </w:rPr>
              <w:t xml:space="preserve">a compounded product or related </w:t>
            </w:r>
            <w:r w:rsidRPr="001F5251">
              <w:rPr>
                <w:rFonts w:ascii="Arial" w:hAnsi="Arial" w:cs="Arial"/>
                <w:sz w:val="18"/>
                <w:szCs w:val="18"/>
              </w:rPr>
              <w:t>information is required.</w:t>
            </w:r>
          </w:p>
          <w:p w:rsidR="00E10391" w:rsidRPr="001F5251" w:rsidRDefault="00E10391" w:rsidP="00E10391">
            <w:pPr>
              <w:numPr>
                <w:ilvl w:val="0"/>
                <w:numId w:val="24"/>
              </w:numPr>
              <w:spacing w:before="40" w:after="40"/>
              <w:ind w:left="284" w:hanging="284"/>
              <w:rPr>
                <w:rFonts w:ascii="Arial" w:hAnsi="Arial" w:cs="Arial"/>
                <w:sz w:val="18"/>
                <w:szCs w:val="18"/>
              </w:rPr>
            </w:pPr>
            <w:r w:rsidRPr="001F5251">
              <w:rPr>
                <w:rFonts w:ascii="Arial" w:hAnsi="Arial" w:cs="Arial"/>
                <w:sz w:val="18"/>
                <w:szCs w:val="18"/>
              </w:rPr>
              <w:t>Ability to ask questions, listen and restate requirements to ensure clarity and agreement on information needs.</w:t>
            </w:r>
          </w:p>
          <w:p w:rsidR="00E10391" w:rsidRPr="001F5251" w:rsidRDefault="00E10391" w:rsidP="00E10391">
            <w:pPr>
              <w:numPr>
                <w:ilvl w:val="0"/>
                <w:numId w:val="24"/>
              </w:numPr>
              <w:spacing w:before="40" w:after="40"/>
              <w:ind w:left="284"/>
              <w:rPr>
                <w:rFonts w:ascii="Arial" w:hAnsi="Arial" w:cs="Arial"/>
                <w:sz w:val="18"/>
                <w:szCs w:val="18"/>
              </w:rPr>
            </w:pPr>
            <w:r w:rsidRPr="001F5251">
              <w:rPr>
                <w:rFonts w:ascii="Arial" w:hAnsi="Arial" w:cs="Arial"/>
                <w:sz w:val="18"/>
                <w:szCs w:val="18"/>
              </w:rPr>
              <w:t>Ability to concisely describe the nature, level of complexity and form in which information is required.</w:t>
            </w:r>
          </w:p>
        </w:tc>
      </w:tr>
      <w:tr w:rsidR="00E10391" w:rsidRPr="001F5251" w:rsidTr="00A66271">
        <w:trPr>
          <w:cantSplit/>
        </w:trPr>
        <w:tc>
          <w:tcPr>
            <w:tcW w:w="3686" w:type="dxa"/>
            <w:shd w:val="clear" w:color="auto" w:fill="DBE5F1" w:themeFill="accent1" w:themeFillTint="33"/>
          </w:tcPr>
          <w:p w:rsidR="00E10391" w:rsidRPr="001F5251" w:rsidRDefault="00E10391" w:rsidP="00A66271">
            <w:pPr>
              <w:spacing w:before="40" w:after="40"/>
              <w:ind w:left="397" w:hanging="397"/>
              <w:rPr>
                <w:rFonts w:ascii="Arial" w:hAnsi="Arial" w:cs="Arial"/>
                <w:sz w:val="18"/>
                <w:szCs w:val="18"/>
              </w:rPr>
            </w:pPr>
            <w:r w:rsidRPr="001F5251">
              <w:rPr>
                <w:rFonts w:ascii="Arial" w:hAnsi="Arial" w:cs="Arial"/>
                <w:sz w:val="18"/>
                <w:szCs w:val="18"/>
              </w:rPr>
              <w:t>2</w:t>
            </w:r>
            <w:r w:rsidRPr="001F5251">
              <w:rPr>
                <w:rFonts w:ascii="Arial" w:hAnsi="Arial" w:cs="Arial"/>
                <w:sz w:val="18"/>
                <w:szCs w:val="18"/>
              </w:rPr>
              <w:tab/>
              <w:t>Considers the adequacy of available information resources for meeting information needs.</w:t>
            </w:r>
          </w:p>
        </w:tc>
        <w:tc>
          <w:tcPr>
            <w:tcW w:w="6237" w:type="dxa"/>
            <w:shd w:val="clear" w:color="auto" w:fill="DBE5F1" w:themeFill="accent1" w:themeFillTint="33"/>
          </w:tcPr>
          <w:p w:rsidR="00E10391" w:rsidRPr="001F5251" w:rsidRDefault="00E10391" w:rsidP="00E10391">
            <w:pPr>
              <w:numPr>
                <w:ilvl w:val="0"/>
                <w:numId w:val="24"/>
              </w:numPr>
              <w:spacing w:before="40" w:after="40"/>
              <w:ind w:left="284"/>
              <w:rPr>
                <w:rFonts w:ascii="Arial" w:hAnsi="Arial" w:cs="Arial"/>
                <w:sz w:val="18"/>
                <w:szCs w:val="18"/>
              </w:rPr>
            </w:pPr>
            <w:r w:rsidRPr="001F5251">
              <w:rPr>
                <w:rFonts w:ascii="Arial" w:hAnsi="Arial" w:cs="Arial"/>
                <w:sz w:val="18"/>
                <w:szCs w:val="18"/>
              </w:rPr>
              <w:t>Ability to differentiate types of information resources (e.g. advertorial/promotional materials, objective/independent reference texts, peer-reviewed journal articles/research papers) on the basis of their quality, suitability and reliability.</w:t>
            </w:r>
          </w:p>
          <w:p w:rsidR="00E10391" w:rsidRPr="001F5251" w:rsidRDefault="00E10391" w:rsidP="00E10391">
            <w:pPr>
              <w:numPr>
                <w:ilvl w:val="0"/>
                <w:numId w:val="24"/>
              </w:numPr>
              <w:spacing w:before="40" w:after="40"/>
              <w:ind w:left="284"/>
              <w:rPr>
                <w:rFonts w:ascii="Arial" w:hAnsi="Arial" w:cs="Arial"/>
                <w:sz w:val="18"/>
                <w:szCs w:val="18"/>
              </w:rPr>
            </w:pPr>
            <w:r w:rsidRPr="001F5251">
              <w:rPr>
                <w:rFonts w:ascii="Arial" w:hAnsi="Arial" w:cs="Arial"/>
                <w:sz w:val="18"/>
                <w:szCs w:val="18"/>
              </w:rPr>
              <w:t>Ability to discuss the scope and usefulness (applications and limitations) of a range of information resources, including indexing and abstracting services and electronic database</w:t>
            </w:r>
            <w:r>
              <w:rPr>
                <w:rFonts w:ascii="Arial" w:hAnsi="Arial" w:cs="Arial"/>
                <w:sz w:val="18"/>
                <w:szCs w:val="18"/>
              </w:rPr>
              <w:t xml:space="preserve"> relevant to complex compounding</w:t>
            </w:r>
            <w:r w:rsidRPr="001F5251">
              <w:rPr>
                <w:rFonts w:ascii="Arial" w:hAnsi="Arial" w:cs="Arial"/>
                <w:sz w:val="18"/>
                <w:szCs w:val="18"/>
              </w:rPr>
              <w:t>.</w:t>
            </w:r>
          </w:p>
        </w:tc>
      </w:tr>
      <w:tr w:rsidR="00E10391" w:rsidRPr="001F5251" w:rsidTr="00A66271">
        <w:trPr>
          <w:cantSplit/>
        </w:trPr>
        <w:tc>
          <w:tcPr>
            <w:tcW w:w="3686" w:type="dxa"/>
            <w:shd w:val="clear" w:color="auto" w:fill="DBE5F1" w:themeFill="accent1" w:themeFillTint="33"/>
          </w:tcPr>
          <w:p w:rsidR="00E10391" w:rsidRPr="001F5251" w:rsidRDefault="00E10391" w:rsidP="00A66271">
            <w:pPr>
              <w:spacing w:before="40" w:after="40"/>
              <w:ind w:left="397" w:hanging="397"/>
              <w:rPr>
                <w:rFonts w:ascii="Arial" w:hAnsi="Arial" w:cs="Arial"/>
                <w:sz w:val="18"/>
                <w:szCs w:val="18"/>
              </w:rPr>
            </w:pPr>
            <w:r w:rsidRPr="001F5251">
              <w:rPr>
                <w:rFonts w:ascii="Arial" w:hAnsi="Arial" w:cs="Arial"/>
                <w:sz w:val="18"/>
                <w:szCs w:val="18"/>
              </w:rPr>
              <w:t>3</w:t>
            </w:r>
            <w:r w:rsidRPr="001F5251">
              <w:rPr>
                <w:rFonts w:ascii="Arial" w:hAnsi="Arial" w:cs="Arial"/>
                <w:sz w:val="18"/>
                <w:szCs w:val="18"/>
              </w:rPr>
              <w:tab/>
              <w:t>Accesses additional information sources where those in the workplace are found to be inadequate.</w:t>
            </w:r>
          </w:p>
        </w:tc>
        <w:tc>
          <w:tcPr>
            <w:tcW w:w="6237" w:type="dxa"/>
            <w:shd w:val="clear" w:color="auto" w:fill="DBE5F1" w:themeFill="accent1" w:themeFillTint="33"/>
          </w:tcPr>
          <w:p w:rsidR="00E10391" w:rsidRPr="001F5251" w:rsidRDefault="00E10391" w:rsidP="00E10391">
            <w:pPr>
              <w:numPr>
                <w:ilvl w:val="0"/>
                <w:numId w:val="24"/>
              </w:numPr>
              <w:spacing w:before="40" w:after="40"/>
              <w:ind w:left="284" w:hanging="284"/>
              <w:rPr>
                <w:rFonts w:ascii="Arial" w:hAnsi="Arial" w:cs="Arial"/>
                <w:sz w:val="18"/>
                <w:szCs w:val="18"/>
              </w:rPr>
            </w:pPr>
            <w:r w:rsidRPr="001F5251">
              <w:rPr>
                <w:rFonts w:ascii="Arial" w:hAnsi="Arial" w:cs="Arial"/>
                <w:sz w:val="18"/>
                <w:szCs w:val="18"/>
              </w:rPr>
              <w:t>Ability to identify circumstances where available information resources are inadequate for responding to information needs.</w:t>
            </w:r>
          </w:p>
          <w:p w:rsidR="00E10391" w:rsidRPr="001F5251" w:rsidRDefault="00E10391" w:rsidP="00E10391">
            <w:pPr>
              <w:numPr>
                <w:ilvl w:val="0"/>
                <w:numId w:val="24"/>
              </w:numPr>
              <w:spacing w:before="40" w:after="40"/>
              <w:ind w:left="284" w:hanging="284"/>
              <w:rPr>
                <w:rFonts w:ascii="Arial" w:hAnsi="Arial" w:cs="Arial"/>
                <w:sz w:val="18"/>
                <w:szCs w:val="18"/>
              </w:rPr>
            </w:pPr>
            <w:r w:rsidRPr="001F5251">
              <w:rPr>
                <w:rFonts w:ascii="Arial" w:hAnsi="Arial" w:cs="Arial"/>
                <w:sz w:val="18"/>
                <w:szCs w:val="18"/>
              </w:rPr>
              <w:t xml:space="preserve">Ability to select and justify the choice of other information sources (e.g. drug information centres, </w:t>
            </w:r>
            <w:r>
              <w:rPr>
                <w:rFonts w:ascii="Arial" w:hAnsi="Arial" w:cs="Arial"/>
                <w:sz w:val="18"/>
                <w:szCs w:val="18"/>
              </w:rPr>
              <w:t xml:space="preserve">government agencies, </w:t>
            </w:r>
            <w:r w:rsidRPr="001F5251">
              <w:rPr>
                <w:rFonts w:ascii="Arial" w:hAnsi="Arial" w:cs="Arial"/>
                <w:sz w:val="18"/>
                <w:szCs w:val="18"/>
              </w:rPr>
              <w:t>pharmaceutical manufacturers or other pharmacists) for meeting information needs.</w:t>
            </w:r>
          </w:p>
        </w:tc>
      </w:tr>
      <w:tr w:rsidR="00E10391" w:rsidRPr="001F5251" w:rsidTr="00A66271">
        <w:trPr>
          <w:cantSplit/>
        </w:trPr>
        <w:tc>
          <w:tcPr>
            <w:tcW w:w="3686" w:type="dxa"/>
            <w:shd w:val="clear" w:color="auto" w:fill="auto"/>
          </w:tcPr>
          <w:p w:rsidR="00E10391" w:rsidRPr="001F5251" w:rsidRDefault="00E10391" w:rsidP="00A66271">
            <w:pPr>
              <w:spacing w:before="40" w:after="40"/>
              <w:ind w:left="397" w:hanging="397"/>
              <w:rPr>
                <w:rFonts w:ascii="Arial" w:hAnsi="Arial" w:cs="Arial"/>
                <w:sz w:val="18"/>
                <w:szCs w:val="18"/>
              </w:rPr>
            </w:pPr>
            <w:r w:rsidRPr="001F5251">
              <w:rPr>
                <w:rFonts w:ascii="Arial" w:hAnsi="Arial" w:cs="Arial"/>
                <w:sz w:val="18"/>
                <w:szCs w:val="18"/>
              </w:rPr>
              <w:t>4</w:t>
            </w:r>
            <w:r w:rsidRPr="001F5251">
              <w:rPr>
                <w:rFonts w:ascii="Arial" w:hAnsi="Arial" w:cs="Arial"/>
                <w:b/>
                <w:i/>
                <w:sz w:val="18"/>
                <w:szCs w:val="18"/>
              </w:rPr>
              <w:tab/>
            </w:r>
            <w:r w:rsidRPr="001F5251">
              <w:rPr>
                <w:rFonts w:ascii="Arial" w:hAnsi="Arial" w:cs="Arial"/>
                <w:sz w:val="18"/>
                <w:szCs w:val="18"/>
              </w:rPr>
              <w:t>Applies a systematic search strategy for responding to information needs.</w:t>
            </w:r>
          </w:p>
        </w:tc>
        <w:tc>
          <w:tcPr>
            <w:tcW w:w="6237" w:type="dxa"/>
            <w:shd w:val="clear" w:color="auto" w:fill="auto"/>
          </w:tcPr>
          <w:p w:rsidR="00E10391" w:rsidRPr="001F5251" w:rsidRDefault="00E10391" w:rsidP="00E10391">
            <w:pPr>
              <w:numPr>
                <w:ilvl w:val="0"/>
                <w:numId w:val="24"/>
              </w:numPr>
              <w:spacing w:before="40" w:after="40"/>
              <w:ind w:left="284"/>
              <w:rPr>
                <w:rFonts w:ascii="Arial" w:hAnsi="Arial" w:cs="Arial"/>
                <w:sz w:val="18"/>
                <w:szCs w:val="18"/>
              </w:rPr>
            </w:pPr>
            <w:r w:rsidRPr="001F5251">
              <w:rPr>
                <w:rFonts w:ascii="Arial" w:hAnsi="Arial" w:cs="Arial"/>
                <w:sz w:val="18"/>
                <w:szCs w:val="18"/>
              </w:rPr>
              <w:t>Ability to apply a defined search strategy for a specific type of information.</w:t>
            </w:r>
          </w:p>
          <w:p w:rsidR="00E10391" w:rsidRPr="001F5251" w:rsidRDefault="00E10391" w:rsidP="00E10391">
            <w:pPr>
              <w:numPr>
                <w:ilvl w:val="0"/>
                <w:numId w:val="24"/>
              </w:numPr>
              <w:spacing w:before="40" w:after="40"/>
              <w:ind w:left="284"/>
              <w:rPr>
                <w:rFonts w:ascii="Arial" w:hAnsi="Arial" w:cs="Arial"/>
                <w:sz w:val="18"/>
                <w:szCs w:val="18"/>
              </w:rPr>
            </w:pPr>
            <w:r w:rsidRPr="001F5251">
              <w:rPr>
                <w:rFonts w:ascii="Arial" w:hAnsi="Arial" w:cs="Arial"/>
                <w:sz w:val="18"/>
                <w:szCs w:val="18"/>
              </w:rPr>
              <w:t>Ability to develop and apply a logical and appropriate search strategy for required information in the absence of a defined search strategy.</w:t>
            </w:r>
          </w:p>
        </w:tc>
      </w:tr>
      <w:tr w:rsidR="00E10391" w:rsidRPr="001F5251" w:rsidTr="00A66271">
        <w:trPr>
          <w:cantSplit/>
        </w:trPr>
        <w:tc>
          <w:tcPr>
            <w:tcW w:w="3686" w:type="dxa"/>
            <w:shd w:val="clear" w:color="auto" w:fill="DBE5F1" w:themeFill="accent1" w:themeFillTint="33"/>
          </w:tcPr>
          <w:p w:rsidR="00E10391" w:rsidRPr="001F5251" w:rsidRDefault="00E10391" w:rsidP="00A66271">
            <w:pPr>
              <w:spacing w:before="40" w:after="40"/>
              <w:ind w:left="397" w:hanging="397"/>
              <w:rPr>
                <w:rFonts w:ascii="Arial" w:hAnsi="Arial" w:cs="Arial"/>
                <w:sz w:val="18"/>
                <w:szCs w:val="18"/>
              </w:rPr>
            </w:pPr>
            <w:r w:rsidRPr="001F5251">
              <w:rPr>
                <w:rFonts w:ascii="Arial" w:hAnsi="Arial" w:cs="Arial"/>
                <w:sz w:val="18"/>
                <w:szCs w:val="18"/>
              </w:rPr>
              <w:t>5</w:t>
            </w:r>
            <w:r w:rsidRPr="001F5251">
              <w:rPr>
                <w:rFonts w:ascii="Arial" w:hAnsi="Arial" w:cs="Arial"/>
                <w:sz w:val="18"/>
                <w:szCs w:val="18"/>
              </w:rPr>
              <w:tab/>
              <w:t>Selects relevant information/literature from a variety or resources, including electronic databases.</w:t>
            </w:r>
          </w:p>
        </w:tc>
        <w:tc>
          <w:tcPr>
            <w:tcW w:w="6237" w:type="dxa"/>
            <w:shd w:val="clear" w:color="auto" w:fill="DBE5F1" w:themeFill="accent1" w:themeFillTint="33"/>
          </w:tcPr>
          <w:p w:rsidR="00E10391" w:rsidRPr="001F5251" w:rsidRDefault="00E10391" w:rsidP="00E10391">
            <w:pPr>
              <w:numPr>
                <w:ilvl w:val="0"/>
                <w:numId w:val="24"/>
              </w:numPr>
              <w:spacing w:before="40" w:after="40"/>
              <w:ind w:left="284"/>
              <w:rPr>
                <w:rFonts w:ascii="Arial" w:hAnsi="Arial" w:cs="Arial"/>
                <w:sz w:val="18"/>
                <w:szCs w:val="18"/>
              </w:rPr>
            </w:pPr>
            <w:r w:rsidRPr="001F5251">
              <w:rPr>
                <w:rFonts w:ascii="Arial" w:hAnsi="Arial" w:cs="Arial"/>
                <w:sz w:val="18"/>
                <w:szCs w:val="18"/>
              </w:rPr>
              <w:t>Ability to demonstrate the use of a variety of electronic and hard copy resources to retrieve relevant information/literature.</w:t>
            </w:r>
          </w:p>
          <w:p w:rsidR="00E10391" w:rsidRPr="001F5251" w:rsidRDefault="00E10391" w:rsidP="00E10391">
            <w:pPr>
              <w:numPr>
                <w:ilvl w:val="0"/>
                <w:numId w:val="24"/>
              </w:numPr>
              <w:spacing w:before="40" w:after="40"/>
              <w:ind w:left="284"/>
              <w:rPr>
                <w:rFonts w:ascii="Arial" w:hAnsi="Arial" w:cs="Arial"/>
                <w:sz w:val="18"/>
                <w:szCs w:val="18"/>
              </w:rPr>
            </w:pPr>
            <w:r w:rsidRPr="001F5251">
              <w:rPr>
                <w:rFonts w:ascii="Arial" w:hAnsi="Arial" w:cs="Arial"/>
                <w:sz w:val="18"/>
                <w:szCs w:val="18"/>
              </w:rPr>
              <w:t>Ability to select and justify the selection of material considered relevant for satisfying information needs.</w:t>
            </w:r>
          </w:p>
        </w:tc>
      </w:tr>
      <w:tr w:rsidR="00E10391" w:rsidRPr="001F5251" w:rsidTr="00A66271">
        <w:trPr>
          <w:cantSplit/>
        </w:trPr>
        <w:tc>
          <w:tcPr>
            <w:tcW w:w="9923" w:type="dxa"/>
            <w:gridSpan w:val="2"/>
            <w:shd w:val="clear" w:color="auto" w:fill="FABF8F" w:themeFill="accent6" w:themeFillTint="99"/>
          </w:tcPr>
          <w:p w:rsidR="00E10391" w:rsidRPr="001F5251" w:rsidRDefault="00E10391" w:rsidP="00A66271">
            <w:pPr>
              <w:spacing w:before="40" w:after="40"/>
              <w:rPr>
                <w:rFonts w:ascii="Arial" w:hAnsi="Arial" w:cs="Arial"/>
                <w:sz w:val="18"/>
                <w:szCs w:val="18"/>
              </w:rPr>
            </w:pPr>
            <w:r w:rsidRPr="001F5251">
              <w:rPr>
                <w:rFonts w:ascii="Arial" w:hAnsi="Arial" w:cs="Arial"/>
                <w:b/>
                <w:sz w:val="18"/>
                <w:szCs w:val="18"/>
              </w:rPr>
              <w:t>Element 3 – Review and analyse information</w:t>
            </w:r>
          </w:p>
        </w:tc>
      </w:tr>
      <w:tr w:rsidR="00E10391" w:rsidRPr="001F5251" w:rsidTr="00A66271">
        <w:trPr>
          <w:cantSplit/>
        </w:trPr>
        <w:tc>
          <w:tcPr>
            <w:tcW w:w="3686" w:type="dxa"/>
            <w:shd w:val="clear" w:color="auto" w:fill="DBE5F1" w:themeFill="accent1" w:themeFillTint="33"/>
          </w:tcPr>
          <w:p w:rsidR="00E10391" w:rsidRPr="001F5251" w:rsidRDefault="00E10391" w:rsidP="00A66271">
            <w:pPr>
              <w:spacing w:before="40" w:after="40"/>
              <w:ind w:left="397" w:hanging="397"/>
              <w:rPr>
                <w:rFonts w:ascii="Arial" w:hAnsi="Arial" w:cs="Arial"/>
                <w:sz w:val="18"/>
                <w:szCs w:val="18"/>
              </w:rPr>
            </w:pPr>
            <w:r w:rsidRPr="001F5251">
              <w:rPr>
                <w:rFonts w:ascii="Arial" w:hAnsi="Arial" w:cs="Arial"/>
                <w:sz w:val="18"/>
                <w:szCs w:val="18"/>
              </w:rPr>
              <w:lastRenderedPageBreak/>
              <w:t>1</w:t>
            </w:r>
            <w:r w:rsidRPr="001F5251">
              <w:rPr>
                <w:rFonts w:ascii="Arial" w:hAnsi="Arial" w:cs="Arial"/>
                <w:sz w:val="18"/>
                <w:szCs w:val="18"/>
              </w:rPr>
              <w:tab/>
              <w:t>Understands basic concepts and terminologies required to critically analyse clinical information.</w:t>
            </w:r>
          </w:p>
        </w:tc>
        <w:tc>
          <w:tcPr>
            <w:tcW w:w="6237" w:type="dxa"/>
            <w:shd w:val="clear" w:color="auto" w:fill="DBE5F1" w:themeFill="accent1" w:themeFillTint="33"/>
          </w:tcPr>
          <w:p w:rsidR="00E10391" w:rsidRPr="001F5251" w:rsidRDefault="00E10391" w:rsidP="00E10391">
            <w:pPr>
              <w:numPr>
                <w:ilvl w:val="0"/>
                <w:numId w:val="24"/>
              </w:numPr>
              <w:spacing w:before="40" w:after="40"/>
              <w:ind w:left="284" w:hanging="284"/>
              <w:rPr>
                <w:rFonts w:ascii="Arial" w:hAnsi="Arial" w:cs="Arial"/>
                <w:sz w:val="18"/>
                <w:szCs w:val="18"/>
              </w:rPr>
            </w:pPr>
            <w:r w:rsidRPr="001F5251">
              <w:rPr>
                <w:rFonts w:ascii="Arial" w:hAnsi="Arial" w:cs="Arial"/>
                <w:sz w:val="18"/>
                <w:szCs w:val="18"/>
              </w:rPr>
              <w:t>Ability to describe the differences between ‘levels of evidence’ that apply to clinical research such as those applied by the N</w:t>
            </w:r>
            <w:r w:rsidR="00700731">
              <w:rPr>
                <w:rFonts w:ascii="Arial" w:hAnsi="Arial" w:cs="Arial"/>
                <w:sz w:val="18"/>
                <w:szCs w:val="18"/>
              </w:rPr>
              <w:t xml:space="preserve">ational </w:t>
            </w:r>
            <w:r w:rsidRPr="001F5251">
              <w:rPr>
                <w:rFonts w:ascii="Arial" w:hAnsi="Arial" w:cs="Arial"/>
                <w:sz w:val="18"/>
                <w:szCs w:val="18"/>
              </w:rPr>
              <w:t>H</w:t>
            </w:r>
            <w:r w:rsidR="00700731">
              <w:rPr>
                <w:rFonts w:ascii="Arial" w:hAnsi="Arial" w:cs="Arial"/>
                <w:sz w:val="18"/>
                <w:szCs w:val="18"/>
              </w:rPr>
              <w:t xml:space="preserve">ealth and </w:t>
            </w:r>
            <w:r w:rsidRPr="001F5251">
              <w:rPr>
                <w:rFonts w:ascii="Arial" w:hAnsi="Arial" w:cs="Arial"/>
                <w:sz w:val="18"/>
                <w:szCs w:val="18"/>
              </w:rPr>
              <w:t>M</w:t>
            </w:r>
            <w:r w:rsidR="00700731">
              <w:rPr>
                <w:rFonts w:ascii="Arial" w:hAnsi="Arial" w:cs="Arial"/>
                <w:sz w:val="18"/>
                <w:szCs w:val="18"/>
              </w:rPr>
              <w:t xml:space="preserve">edical </w:t>
            </w:r>
            <w:r w:rsidRPr="001F5251">
              <w:rPr>
                <w:rFonts w:ascii="Arial" w:hAnsi="Arial" w:cs="Arial"/>
                <w:sz w:val="18"/>
                <w:szCs w:val="18"/>
              </w:rPr>
              <w:t>R</w:t>
            </w:r>
            <w:r w:rsidR="00700731">
              <w:rPr>
                <w:rFonts w:ascii="Arial" w:hAnsi="Arial" w:cs="Arial"/>
                <w:sz w:val="18"/>
                <w:szCs w:val="18"/>
              </w:rPr>
              <w:t xml:space="preserve">esearch </w:t>
            </w:r>
            <w:r w:rsidRPr="001F5251">
              <w:rPr>
                <w:rFonts w:ascii="Arial" w:hAnsi="Arial" w:cs="Arial"/>
                <w:sz w:val="18"/>
                <w:szCs w:val="18"/>
              </w:rPr>
              <w:t>C</w:t>
            </w:r>
            <w:r w:rsidR="00700731">
              <w:rPr>
                <w:rFonts w:ascii="Arial" w:hAnsi="Arial" w:cs="Arial"/>
                <w:sz w:val="18"/>
                <w:szCs w:val="18"/>
              </w:rPr>
              <w:t>ouncil (NHMRC)</w:t>
            </w:r>
            <w:r w:rsidRPr="001F5251">
              <w:rPr>
                <w:rFonts w:ascii="Arial" w:hAnsi="Arial" w:cs="Arial"/>
                <w:sz w:val="18"/>
                <w:szCs w:val="18"/>
              </w:rPr>
              <w:t xml:space="preserve"> (e.g. Level II – well designed randomised controlled trial (RCT), Level IV – case series).</w:t>
            </w:r>
          </w:p>
          <w:p w:rsidR="00E10391" w:rsidRPr="001F5251" w:rsidRDefault="00E10391" w:rsidP="00E10391">
            <w:pPr>
              <w:numPr>
                <w:ilvl w:val="0"/>
                <w:numId w:val="24"/>
              </w:numPr>
              <w:spacing w:before="40" w:after="40"/>
              <w:ind w:left="284"/>
              <w:rPr>
                <w:rFonts w:ascii="Arial" w:hAnsi="Arial" w:cs="Arial"/>
                <w:sz w:val="18"/>
                <w:szCs w:val="18"/>
              </w:rPr>
            </w:pPr>
            <w:r w:rsidRPr="001F5251">
              <w:rPr>
                <w:rFonts w:ascii="Arial" w:hAnsi="Arial" w:cs="Arial"/>
                <w:sz w:val="18"/>
                <w:szCs w:val="18"/>
              </w:rPr>
              <w:t>Ability to explain the meaning of statistical terms and/or methods commonly used in scientific/medical literature (e.g. relative and absolute risk, statistical significance, confidence intervals (CI), number needed to treat (NNT), cost-effectiveness and cost-benefit analysis).</w:t>
            </w:r>
          </w:p>
        </w:tc>
      </w:tr>
      <w:tr w:rsidR="00E10391" w:rsidRPr="001F5251" w:rsidTr="00A66271">
        <w:trPr>
          <w:cantSplit/>
        </w:trPr>
        <w:tc>
          <w:tcPr>
            <w:tcW w:w="3686" w:type="dxa"/>
            <w:shd w:val="clear" w:color="auto" w:fill="DBE5F1" w:themeFill="accent1" w:themeFillTint="33"/>
          </w:tcPr>
          <w:p w:rsidR="00E10391" w:rsidRPr="001F5251" w:rsidRDefault="00E10391" w:rsidP="00A66271">
            <w:pPr>
              <w:spacing w:before="40" w:after="40"/>
              <w:ind w:left="397" w:hanging="397"/>
              <w:rPr>
                <w:rFonts w:ascii="Arial" w:hAnsi="Arial" w:cs="Arial"/>
                <w:sz w:val="18"/>
                <w:szCs w:val="18"/>
              </w:rPr>
            </w:pPr>
            <w:r w:rsidRPr="001F5251">
              <w:rPr>
                <w:rFonts w:ascii="Arial" w:hAnsi="Arial" w:cs="Arial"/>
                <w:sz w:val="18"/>
                <w:szCs w:val="18"/>
              </w:rPr>
              <w:t>2</w:t>
            </w:r>
            <w:r w:rsidRPr="001F5251">
              <w:rPr>
                <w:rFonts w:ascii="Arial" w:hAnsi="Arial" w:cs="Arial"/>
                <w:sz w:val="18"/>
                <w:szCs w:val="18"/>
              </w:rPr>
              <w:tab/>
              <w:t>Establishes the extent to which confidence may be placed in the content of clinical papers.</w:t>
            </w:r>
          </w:p>
        </w:tc>
        <w:tc>
          <w:tcPr>
            <w:tcW w:w="6237" w:type="dxa"/>
            <w:shd w:val="clear" w:color="auto" w:fill="DBE5F1" w:themeFill="accent1" w:themeFillTint="33"/>
          </w:tcPr>
          <w:p w:rsidR="00E10391" w:rsidRPr="001F5251" w:rsidRDefault="00E10391" w:rsidP="00E10391">
            <w:pPr>
              <w:numPr>
                <w:ilvl w:val="0"/>
                <w:numId w:val="24"/>
              </w:numPr>
              <w:spacing w:before="40" w:after="40"/>
              <w:ind w:left="284" w:hanging="284"/>
              <w:rPr>
                <w:rFonts w:ascii="Arial" w:hAnsi="Arial" w:cs="Arial"/>
                <w:sz w:val="18"/>
                <w:szCs w:val="18"/>
              </w:rPr>
            </w:pPr>
            <w:r w:rsidRPr="001F5251">
              <w:rPr>
                <w:rFonts w:ascii="Arial" w:hAnsi="Arial" w:cs="Arial"/>
                <w:sz w:val="18"/>
                <w:szCs w:val="18"/>
              </w:rPr>
              <w:t>Ability to discuss the quality and reliability of information in primary sources (e.g. RCT in peer-reviewed journal versus unreferenced statement).</w:t>
            </w:r>
          </w:p>
          <w:p w:rsidR="00E10391" w:rsidRPr="001F5251" w:rsidRDefault="00E10391" w:rsidP="00E10391">
            <w:pPr>
              <w:numPr>
                <w:ilvl w:val="0"/>
                <w:numId w:val="24"/>
              </w:numPr>
              <w:spacing w:before="40" w:after="40"/>
              <w:ind w:left="284" w:hanging="284"/>
              <w:rPr>
                <w:rFonts w:ascii="Arial" w:hAnsi="Arial" w:cs="Arial"/>
                <w:sz w:val="18"/>
                <w:szCs w:val="18"/>
              </w:rPr>
            </w:pPr>
            <w:r w:rsidRPr="001F5251">
              <w:rPr>
                <w:rFonts w:ascii="Arial" w:hAnsi="Arial" w:cs="Arial"/>
                <w:sz w:val="18"/>
                <w:szCs w:val="18"/>
              </w:rPr>
              <w:t>Ability to discuss the validity of methods used (e.g. avoidance of bias, sampling methods, inclusion/exclusion criteria, use of surrogate markers).</w:t>
            </w:r>
          </w:p>
          <w:p w:rsidR="00E10391" w:rsidRPr="001F5251" w:rsidRDefault="00E10391" w:rsidP="00E10391">
            <w:pPr>
              <w:numPr>
                <w:ilvl w:val="0"/>
                <w:numId w:val="24"/>
              </w:numPr>
              <w:spacing w:before="40" w:after="40"/>
              <w:ind w:left="284" w:hanging="284"/>
              <w:rPr>
                <w:rFonts w:ascii="Arial" w:hAnsi="Arial" w:cs="Arial"/>
                <w:sz w:val="18"/>
                <w:szCs w:val="18"/>
              </w:rPr>
            </w:pPr>
            <w:r w:rsidRPr="001F5251">
              <w:rPr>
                <w:rFonts w:ascii="Arial" w:hAnsi="Arial" w:cs="Arial"/>
                <w:sz w:val="18"/>
                <w:szCs w:val="18"/>
              </w:rPr>
              <w:t>Ability to explain the clinical significance</w:t>
            </w:r>
            <w:r>
              <w:rPr>
                <w:rFonts w:ascii="Arial" w:hAnsi="Arial" w:cs="Arial"/>
                <w:sz w:val="18"/>
                <w:szCs w:val="18"/>
              </w:rPr>
              <w:t xml:space="preserve"> or</w:t>
            </w:r>
            <w:r w:rsidRPr="001F5251">
              <w:rPr>
                <w:rFonts w:ascii="Arial" w:hAnsi="Arial" w:cs="Arial"/>
                <w:sz w:val="18"/>
                <w:szCs w:val="18"/>
              </w:rPr>
              <w:t xml:space="preserve"> impact on </w:t>
            </w:r>
            <w:r>
              <w:rPr>
                <w:rFonts w:ascii="Arial" w:hAnsi="Arial" w:cs="Arial"/>
                <w:sz w:val="18"/>
                <w:szCs w:val="18"/>
              </w:rPr>
              <w:t>product</w:t>
            </w:r>
            <w:r w:rsidRPr="001F5251">
              <w:rPr>
                <w:rFonts w:ascii="Arial" w:hAnsi="Arial" w:cs="Arial"/>
                <w:sz w:val="18"/>
                <w:szCs w:val="18"/>
              </w:rPr>
              <w:t xml:space="preserve"> use of new information from primary sources.</w:t>
            </w:r>
          </w:p>
        </w:tc>
      </w:tr>
      <w:tr w:rsidR="00E10391" w:rsidRPr="001F5251" w:rsidTr="00A66271">
        <w:trPr>
          <w:cantSplit/>
        </w:trPr>
        <w:tc>
          <w:tcPr>
            <w:tcW w:w="3686" w:type="dxa"/>
            <w:shd w:val="clear" w:color="auto" w:fill="DBE5F1" w:themeFill="accent1" w:themeFillTint="33"/>
          </w:tcPr>
          <w:p w:rsidR="00E10391" w:rsidRPr="001F5251" w:rsidRDefault="00E10391" w:rsidP="00A66271">
            <w:pPr>
              <w:spacing w:before="40" w:after="40"/>
              <w:ind w:left="397" w:hanging="397"/>
              <w:rPr>
                <w:rFonts w:ascii="Arial" w:hAnsi="Arial" w:cs="Arial"/>
                <w:sz w:val="18"/>
                <w:szCs w:val="18"/>
              </w:rPr>
            </w:pPr>
            <w:r w:rsidRPr="001F5251">
              <w:rPr>
                <w:rFonts w:ascii="Arial" w:hAnsi="Arial" w:cs="Arial"/>
                <w:sz w:val="18"/>
                <w:szCs w:val="18"/>
              </w:rPr>
              <w:t>3</w:t>
            </w:r>
            <w:r w:rsidRPr="001F5251">
              <w:rPr>
                <w:rFonts w:ascii="Arial" w:hAnsi="Arial" w:cs="Arial"/>
                <w:b/>
                <w:i/>
                <w:sz w:val="18"/>
                <w:szCs w:val="18"/>
              </w:rPr>
              <w:tab/>
            </w:r>
            <w:r w:rsidRPr="001F5251">
              <w:rPr>
                <w:rFonts w:ascii="Arial" w:hAnsi="Arial" w:cs="Arial"/>
                <w:sz w:val="18"/>
                <w:szCs w:val="18"/>
              </w:rPr>
              <w:t>Understands and interprets the retrieved information.</w:t>
            </w:r>
          </w:p>
        </w:tc>
        <w:tc>
          <w:tcPr>
            <w:tcW w:w="6237" w:type="dxa"/>
            <w:shd w:val="clear" w:color="auto" w:fill="DBE5F1" w:themeFill="accent1" w:themeFillTint="33"/>
          </w:tcPr>
          <w:p w:rsidR="00E10391" w:rsidRPr="001F5251" w:rsidRDefault="00E10391" w:rsidP="00E10391">
            <w:pPr>
              <w:numPr>
                <w:ilvl w:val="0"/>
                <w:numId w:val="24"/>
              </w:numPr>
              <w:spacing w:before="40" w:after="40"/>
              <w:ind w:left="284" w:hanging="284"/>
              <w:rPr>
                <w:rFonts w:ascii="Arial" w:hAnsi="Arial" w:cs="Arial"/>
                <w:sz w:val="18"/>
                <w:szCs w:val="18"/>
              </w:rPr>
            </w:pPr>
            <w:r w:rsidRPr="001F5251">
              <w:rPr>
                <w:rFonts w:ascii="Arial" w:hAnsi="Arial" w:cs="Arial"/>
                <w:sz w:val="18"/>
                <w:szCs w:val="18"/>
              </w:rPr>
              <w:t>Ability to explain the content of clinical papers, including those relating to comparative efficacy and safety of medicines, cost effectiveness and the pharmacokinetics of different dosage forms.</w:t>
            </w:r>
          </w:p>
        </w:tc>
      </w:tr>
      <w:tr w:rsidR="00E10391" w:rsidRPr="001F5251" w:rsidTr="00A66271">
        <w:trPr>
          <w:cantSplit/>
        </w:trPr>
        <w:tc>
          <w:tcPr>
            <w:tcW w:w="3686" w:type="dxa"/>
            <w:shd w:val="clear" w:color="auto" w:fill="auto"/>
          </w:tcPr>
          <w:p w:rsidR="00E10391" w:rsidRPr="001F5251" w:rsidRDefault="00E10391" w:rsidP="00A66271">
            <w:pPr>
              <w:spacing w:before="40" w:after="40"/>
              <w:ind w:left="397" w:hanging="397"/>
              <w:rPr>
                <w:rFonts w:ascii="Arial" w:hAnsi="Arial" w:cs="Arial"/>
                <w:sz w:val="18"/>
                <w:szCs w:val="18"/>
              </w:rPr>
            </w:pPr>
            <w:r w:rsidRPr="001F5251">
              <w:rPr>
                <w:rFonts w:ascii="Arial" w:hAnsi="Arial" w:cs="Arial"/>
                <w:sz w:val="18"/>
                <w:szCs w:val="18"/>
              </w:rPr>
              <w:t>4</w:t>
            </w:r>
            <w:r w:rsidRPr="001F5251">
              <w:rPr>
                <w:rFonts w:ascii="Arial" w:hAnsi="Arial" w:cs="Arial"/>
                <w:sz w:val="18"/>
                <w:szCs w:val="18"/>
              </w:rPr>
              <w:tab/>
              <w:t>Uses professional judgement to reconcile divergent or conflicting information and/or form a view where there is a paucity of information.</w:t>
            </w:r>
          </w:p>
        </w:tc>
        <w:tc>
          <w:tcPr>
            <w:tcW w:w="6237" w:type="dxa"/>
            <w:shd w:val="clear" w:color="auto" w:fill="auto"/>
          </w:tcPr>
          <w:p w:rsidR="00E10391" w:rsidRPr="001F5251" w:rsidRDefault="00E10391" w:rsidP="00E10391">
            <w:pPr>
              <w:numPr>
                <w:ilvl w:val="0"/>
                <w:numId w:val="24"/>
              </w:numPr>
              <w:spacing w:before="40" w:after="40"/>
              <w:ind w:left="284"/>
              <w:rPr>
                <w:rFonts w:ascii="Arial" w:hAnsi="Arial" w:cs="Arial"/>
                <w:sz w:val="18"/>
                <w:szCs w:val="18"/>
              </w:rPr>
            </w:pPr>
            <w:r w:rsidRPr="001F5251">
              <w:rPr>
                <w:rFonts w:ascii="Arial" w:hAnsi="Arial" w:cs="Arial"/>
                <w:sz w:val="18"/>
                <w:szCs w:val="18"/>
              </w:rPr>
              <w:t>Ability to identify situations where retrieved information is inconsistent or in conflict.</w:t>
            </w:r>
          </w:p>
          <w:p w:rsidR="00E10391" w:rsidRPr="001F5251" w:rsidRDefault="00E10391" w:rsidP="00E10391">
            <w:pPr>
              <w:numPr>
                <w:ilvl w:val="0"/>
                <w:numId w:val="24"/>
              </w:numPr>
              <w:spacing w:before="40" w:after="40"/>
              <w:ind w:left="284"/>
              <w:rPr>
                <w:rFonts w:ascii="Arial" w:hAnsi="Arial" w:cs="Arial"/>
                <w:sz w:val="18"/>
                <w:szCs w:val="18"/>
              </w:rPr>
            </w:pPr>
            <w:r w:rsidRPr="001F5251">
              <w:rPr>
                <w:rFonts w:ascii="Arial" w:hAnsi="Arial" w:cs="Arial"/>
                <w:sz w:val="18"/>
                <w:szCs w:val="18"/>
              </w:rPr>
              <w:t>Ability to determine and justify a course of action/recommendation in the face of divergent or conflicting information or where there is a paucity of information.</w:t>
            </w:r>
          </w:p>
        </w:tc>
      </w:tr>
      <w:tr w:rsidR="00E10391" w:rsidRPr="001F5251" w:rsidTr="00A66271">
        <w:trPr>
          <w:cantSplit/>
        </w:trPr>
        <w:tc>
          <w:tcPr>
            <w:tcW w:w="9923" w:type="dxa"/>
            <w:gridSpan w:val="2"/>
            <w:shd w:val="clear" w:color="auto" w:fill="FABF8F" w:themeFill="accent6" w:themeFillTint="99"/>
          </w:tcPr>
          <w:p w:rsidR="00E10391" w:rsidRPr="001F5251" w:rsidRDefault="00E10391" w:rsidP="00A66271">
            <w:pPr>
              <w:spacing w:before="40" w:after="40"/>
              <w:rPr>
                <w:rFonts w:ascii="Arial" w:hAnsi="Arial" w:cs="Arial"/>
                <w:sz w:val="18"/>
                <w:szCs w:val="18"/>
              </w:rPr>
            </w:pPr>
            <w:r>
              <w:br w:type="page"/>
            </w:r>
            <w:r w:rsidRPr="001F5251">
              <w:rPr>
                <w:rFonts w:ascii="Arial" w:hAnsi="Arial" w:cs="Arial"/>
                <w:b/>
                <w:sz w:val="18"/>
                <w:szCs w:val="18"/>
              </w:rPr>
              <w:t xml:space="preserve">Element 4 – Synthesise information </w:t>
            </w:r>
          </w:p>
        </w:tc>
      </w:tr>
      <w:tr w:rsidR="00E10391" w:rsidRPr="001F5251" w:rsidTr="00A66271">
        <w:trPr>
          <w:cantSplit/>
        </w:trPr>
        <w:tc>
          <w:tcPr>
            <w:tcW w:w="3686" w:type="dxa"/>
            <w:shd w:val="clear" w:color="auto" w:fill="auto"/>
          </w:tcPr>
          <w:p w:rsidR="00E10391" w:rsidRPr="001F5251" w:rsidRDefault="00E10391" w:rsidP="00A66271">
            <w:pPr>
              <w:spacing w:before="40" w:after="40"/>
              <w:ind w:left="397" w:hanging="397"/>
              <w:rPr>
                <w:rFonts w:ascii="Arial" w:hAnsi="Arial" w:cs="Arial"/>
                <w:sz w:val="18"/>
                <w:szCs w:val="18"/>
              </w:rPr>
            </w:pPr>
            <w:r w:rsidRPr="001F5251">
              <w:rPr>
                <w:rFonts w:ascii="Arial" w:hAnsi="Arial" w:cs="Arial"/>
                <w:sz w:val="18"/>
                <w:szCs w:val="18"/>
              </w:rPr>
              <w:t>1</w:t>
            </w:r>
            <w:r w:rsidRPr="001F5251">
              <w:rPr>
                <w:rFonts w:ascii="Arial" w:hAnsi="Arial" w:cs="Arial"/>
                <w:sz w:val="18"/>
                <w:szCs w:val="18"/>
              </w:rPr>
              <w:tab/>
              <w:t>Integrates retrieved information into a clear, cohesive, objective and succinct response.</w:t>
            </w:r>
          </w:p>
        </w:tc>
        <w:tc>
          <w:tcPr>
            <w:tcW w:w="6237" w:type="dxa"/>
            <w:shd w:val="clear" w:color="auto" w:fill="auto"/>
          </w:tcPr>
          <w:p w:rsidR="00E10391" w:rsidRPr="001F5251" w:rsidRDefault="00E10391" w:rsidP="00E10391">
            <w:pPr>
              <w:numPr>
                <w:ilvl w:val="0"/>
                <w:numId w:val="24"/>
              </w:numPr>
              <w:spacing w:before="40" w:after="40"/>
              <w:ind w:left="284"/>
              <w:rPr>
                <w:rFonts w:ascii="Arial" w:hAnsi="Arial" w:cs="Arial"/>
                <w:sz w:val="18"/>
                <w:szCs w:val="18"/>
              </w:rPr>
            </w:pPr>
            <w:r w:rsidRPr="001F5251">
              <w:rPr>
                <w:rFonts w:ascii="Arial" w:hAnsi="Arial" w:cs="Arial"/>
                <w:sz w:val="18"/>
                <w:szCs w:val="18"/>
              </w:rPr>
              <w:t xml:space="preserve">Ability to integrate information from diverse sources to </w:t>
            </w:r>
            <w:r>
              <w:rPr>
                <w:rFonts w:ascii="Arial" w:hAnsi="Arial" w:cs="Arial"/>
                <w:sz w:val="18"/>
                <w:szCs w:val="18"/>
              </w:rPr>
              <w:t xml:space="preserve">reach a decision or </w:t>
            </w:r>
            <w:r w:rsidRPr="001F5251">
              <w:rPr>
                <w:rFonts w:ascii="Arial" w:hAnsi="Arial" w:cs="Arial"/>
                <w:sz w:val="18"/>
                <w:szCs w:val="18"/>
              </w:rPr>
              <w:t>provide an objective and unambiguous response/summary.</w:t>
            </w:r>
          </w:p>
          <w:p w:rsidR="00E10391" w:rsidRDefault="00E10391" w:rsidP="00E10391">
            <w:pPr>
              <w:numPr>
                <w:ilvl w:val="0"/>
                <w:numId w:val="24"/>
              </w:numPr>
              <w:spacing w:before="40" w:after="40"/>
              <w:ind w:left="284"/>
              <w:rPr>
                <w:rFonts w:ascii="Arial" w:hAnsi="Arial" w:cs="Arial"/>
                <w:sz w:val="18"/>
                <w:szCs w:val="18"/>
              </w:rPr>
            </w:pPr>
            <w:r w:rsidRPr="001F5251">
              <w:rPr>
                <w:rFonts w:ascii="Arial" w:hAnsi="Arial" w:cs="Arial"/>
                <w:sz w:val="18"/>
                <w:szCs w:val="18"/>
              </w:rPr>
              <w:t xml:space="preserve">Ability to clearly relate the </w:t>
            </w:r>
            <w:r>
              <w:rPr>
                <w:rFonts w:ascii="Arial" w:hAnsi="Arial" w:cs="Arial"/>
                <w:sz w:val="18"/>
                <w:szCs w:val="18"/>
              </w:rPr>
              <w:t>retrieved</w:t>
            </w:r>
            <w:r w:rsidRPr="001F5251">
              <w:rPr>
                <w:rFonts w:ascii="Arial" w:hAnsi="Arial" w:cs="Arial"/>
                <w:sz w:val="18"/>
                <w:szCs w:val="18"/>
              </w:rPr>
              <w:t xml:space="preserve"> information to the request/information need, presenting circumstances and/or consumer or drug factors.</w:t>
            </w:r>
          </w:p>
        </w:tc>
      </w:tr>
      <w:tr w:rsidR="00E10391" w:rsidRPr="001F5251" w:rsidTr="00A66271">
        <w:trPr>
          <w:cantSplit/>
        </w:trPr>
        <w:tc>
          <w:tcPr>
            <w:tcW w:w="3686" w:type="dxa"/>
            <w:shd w:val="clear" w:color="auto" w:fill="auto"/>
          </w:tcPr>
          <w:p w:rsidR="00E10391" w:rsidRPr="001F5251" w:rsidRDefault="00E10391" w:rsidP="00A66271">
            <w:pPr>
              <w:spacing w:before="40" w:after="40"/>
              <w:ind w:left="397" w:hanging="397"/>
              <w:rPr>
                <w:rFonts w:ascii="Arial" w:hAnsi="Arial" w:cs="Arial"/>
                <w:sz w:val="18"/>
                <w:szCs w:val="18"/>
              </w:rPr>
            </w:pPr>
            <w:r w:rsidRPr="001F5251">
              <w:rPr>
                <w:rFonts w:ascii="Arial" w:hAnsi="Arial" w:cs="Arial"/>
                <w:sz w:val="18"/>
                <w:szCs w:val="18"/>
              </w:rPr>
              <w:t>2</w:t>
            </w:r>
            <w:r w:rsidRPr="001F5251">
              <w:rPr>
                <w:rFonts w:ascii="Arial" w:hAnsi="Arial" w:cs="Arial"/>
                <w:b/>
                <w:i/>
                <w:sz w:val="18"/>
                <w:szCs w:val="18"/>
              </w:rPr>
              <w:tab/>
            </w:r>
            <w:r w:rsidRPr="001F5251">
              <w:rPr>
                <w:rFonts w:ascii="Arial" w:hAnsi="Arial" w:cs="Arial"/>
                <w:sz w:val="18"/>
                <w:szCs w:val="18"/>
              </w:rPr>
              <w:t>Constructs the response in a professionally defensible and responsible manner.</w:t>
            </w:r>
          </w:p>
        </w:tc>
        <w:tc>
          <w:tcPr>
            <w:tcW w:w="6237" w:type="dxa"/>
            <w:shd w:val="clear" w:color="auto" w:fill="auto"/>
          </w:tcPr>
          <w:p w:rsidR="00E10391" w:rsidRPr="001F5251" w:rsidRDefault="00E10391" w:rsidP="00E10391">
            <w:pPr>
              <w:numPr>
                <w:ilvl w:val="0"/>
                <w:numId w:val="24"/>
              </w:numPr>
              <w:spacing w:before="40" w:after="40"/>
              <w:ind w:left="284"/>
              <w:rPr>
                <w:rFonts w:ascii="Arial" w:hAnsi="Arial" w:cs="Arial"/>
                <w:sz w:val="18"/>
                <w:szCs w:val="18"/>
              </w:rPr>
            </w:pPr>
            <w:r w:rsidRPr="001F5251">
              <w:rPr>
                <w:rFonts w:ascii="Arial" w:hAnsi="Arial" w:cs="Arial"/>
                <w:sz w:val="18"/>
                <w:szCs w:val="18"/>
              </w:rPr>
              <w:t>Ability to describe issues (professional, ethical and legal) impacting on the way findings, advice, opinions and recommendations can or should be presented</w:t>
            </w:r>
            <w:r>
              <w:rPr>
                <w:rFonts w:ascii="Arial" w:hAnsi="Arial" w:cs="Arial"/>
                <w:sz w:val="18"/>
                <w:szCs w:val="18"/>
              </w:rPr>
              <w:t xml:space="preserve"> or used</w:t>
            </w:r>
            <w:r w:rsidRPr="001F5251">
              <w:rPr>
                <w:rFonts w:ascii="Arial" w:hAnsi="Arial" w:cs="Arial"/>
                <w:sz w:val="18"/>
                <w:szCs w:val="18"/>
              </w:rPr>
              <w:t>.</w:t>
            </w:r>
          </w:p>
        </w:tc>
      </w:tr>
      <w:tr w:rsidR="00E10391" w:rsidRPr="001F5251" w:rsidTr="00A66271">
        <w:trPr>
          <w:cantSplit/>
        </w:trPr>
        <w:tc>
          <w:tcPr>
            <w:tcW w:w="3686" w:type="dxa"/>
            <w:shd w:val="clear" w:color="auto" w:fill="DBE5F1" w:themeFill="accent1" w:themeFillTint="33"/>
          </w:tcPr>
          <w:p w:rsidR="00E10391" w:rsidRPr="001F5251" w:rsidRDefault="00E10391" w:rsidP="00A66271">
            <w:pPr>
              <w:spacing w:before="40" w:after="40"/>
              <w:ind w:left="397" w:hanging="397"/>
              <w:rPr>
                <w:rFonts w:ascii="Arial" w:hAnsi="Arial" w:cs="Arial"/>
                <w:sz w:val="18"/>
                <w:szCs w:val="18"/>
              </w:rPr>
            </w:pPr>
            <w:r w:rsidRPr="001F5251">
              <w:rPr>
                <w:rFonts w:ascii="Arial" w:hAnsi="Arial" w:cs="Arial"/>
                <w:sz w:val="18"/>
                <w:szCs w:val="18"/>
              </w:rPr>
              <w:t>3</w:t>
            </w:r>
            <w:r w:rsidRPr="001F5251">
              <w:rPr>
                <w:rFonts w:ascii="Arial" w:hAnsi="Arial" w:cs="Arial"/>
                <w:sz w:val="18"/>
                <w:szCs w:val="18"/>
              </w:rPr>
              <w:tab/>
              <w:t>Applies a standardised referencing technique to link information to the evidence base.</w:t>
            </w:r>
          </w:p>
        </w:tc>
        <w:tc>
          <w:tcPr>
            <w:tcW w:w="6237" w:type="dxa"/>
            <w:shd w:val="clear" w:color="auto" w:fill="DBE5F1" w:themeFill="accent1" w:themeFillTint="33"/>
          </w:tcPr>
          <w:p w:rsidR="00E10391" w:rsidRPr="001F5251" w:rsidRDefault="00E10391" w:rsidP="00E10391">
            <w:pPr>
              <w:numPr>
                <w:ilvl w:val="0"/>
                <w:numId w:val="24"/>
              </w:numPr>
              <w:spacing w:before="40" w:after="40"/>
              <w:ind w:left="284"/>
              <w:rPr>
                <w:rFonts w:ascii="Arial" w:hAnsi="Arial" w:cs="Arial"/>
                <w:sz w:val="18"/>
                <w:szCs w:val="18"/>
              </w:rPr>
            </w:pPr>
            <w:r w:rsidRPr="001F5251">
              <w:rPr>
                <w:rFonts w:ascii="Arial" w:hAnsi="Arial" w:cs="Arial"/>
                <w:sz w:val="18"/>
                <w:szCs w:val="18"/>
              </w:rPr>
              <w:t>Ability to produce a fully referenced information summary and use a referencing technique of the type used in scientific writing (e.g. the Vancouver System).</w:t>
            </w:r>
          </w:p>
        </w:tc>
      </w:tr>
      <w:tr w:rsidR="00E10391" w:rsidRPr="001F5251" w:rsidTr="00A66271">
        <w:trPr>
          <w:cantSplit/>
        </w:trPr>
        <w:tc>
          <w:tcPr>
            <w:tcW w:w="3686" w:type="dxa"/>
            <w:shd w:val="clear" w:color="auto" w:fill="DBE5F1" w:themeFill="accent1" w:themeFillTint="33"/>
          </w:tcPr>
          <w:p w:rsidR="00E10391" w:rsidRPr="001F5251" w:rsidRDefault="00E10391" w:rsidP="00A66271">
            <w:pPr>
              <w:spacing w:before="40" w:after="40"/>
              <w:ind w:left="397" w:hanging="397"/>
              <w:rPr>
                <w:rFonts w:ascii="Arial" w:hAnsi="Arial" w:cs="Arial"/>
                <w:sz w:val="18"/>
                <w:szCs w:val="18"/>
              </w:rPr>
            </w:pPr>
            <w:r w:rsidRPr="001F5251">
              <w:rPr>
                <w:rFonts w:ascii="Arial" w:hAnsi="Arial" w:cs="Arial"/>
                <w:sz w:val="18"/>
                <w:szCs w:val="18"/>
              </w:rPr>
              <w:t>4</w:t>
            </w:r>
            <w:r w:rsidRPr="001F5251">
              <w:rPr>
                <w:rFonts w:ascii="Arial" w:hAnsi="Arial" w:cs="Arial"/>
                <w:sz w:val="18"/>
                <w:szCs w:val="18"/>
              </w:rPr>
              <w:tab/>
              <w:t>Explains the evidence base underpinning the response clearly and concisely.</w:t>
            </w:r>
          </w:p>
        </w:tc>
        <w:tc>
          <w:tcPr>
            <w:tcW w:w="6237" w:type="dxa"/>
            <w:shd w:val="clear" w:color="auto" w:fill="DBE5F1" w:themeFill="accent1" w:themeFillTint="33"/>
          </w:tcPr>
          <w:p w:rsidR="00E10391" w:rsidRPr="001F5251" w:rsidRDefault="00E10391" w:rsidP="00E10391">
            <w:pPr>
              <w:numPr>
                <w:ilvl w:val="0"/>
                <w:numId w:val="24"/>
              </w:numPr>
              <w:spacing w:before="40" w:after="40"/>
              <w:ind w:left="284"/>
              <w:rPr>
                <w:rFonts w:ascii="Arial" w:hAnsi="Arial" w:cs="Arial"/>
                <w:sz w:val="18"/>
                <w:szCs w:val="18"/>
              </w:rPr>
            </w:pPr>
            <w:r w:rsidRPr="001F5251">
              <w:rPr>
                <w:rFonts w:ascii="Arial" w:hAnsi="Arial" w:cs="Arial"/>
                <w:sz w:val="18"/>
                <w:szCs w:val="18"/>
              </w:rPr>
              <w:t>Ability to clearly explain the evidence-based content of the response making reference, where appropriate, to the request/information need, presenting circumstances and consumer or drug factors.</w:t>
            </w:r>
          </w:p>
        </w:tc>
      </w:tr>
      <w:tr w:rsidR="00E10391" w:rsidRPr="001F5251" w:rsidTr="00A66271">
        <w:trPr>
          <w:cantSplit/>
        </w:trPr>
        <w:tc>
          <w:tcPr>
            <w:tcW w:w="3686" w:type="dxa"/>
            <w:shd w:val="clear" w:color="auto" w:fill="auto"/>
          </w:tcPr>
          <w:p w:rsidR="00E10391" w:rsidRPr="001F5251" w:rsidRDefault="00E10391" w:rsidP="00A66271">
            <w:pPr>
              <w:spacing w:before="40" w:after="40"/>
              <w:ind w:left="397" w:hanging="397"/>
              <w:rPr>
                <w:rFonts w:ascii="Arial" w:hAnsi="Arial" w:cs="Arial"/>
                <w:sz w:val="18"/>
                <w:szCs w:val="18"/>
              </w:rPr>
            </w:pPr>
            <w:r w:rsidRPr="001F5251">
              <w:rPr>
                <w:rFonts w:ascii="Arial" w:hAnsi="Arial" w:cs="Arial"/>
                <w:sz w:val="18"/>
                <w:szCs w:val="18"/>
              </w:rPr>
              <w:t>5</w:t>
            </w:r>
            <w:r w:rsidRPr="001F5251">
              <w:rPr>
                <w:rFonts w:ascii="Arial" w:hAnsi="Arial" w:cs="Arial"/>
                <w:sz w:val="18"/>
                <w:szCs w:val="18"/>
              </w:rPr>
              <w:tab/>
              <w:t xml:space="preserve">Substantiates professional advice, opinions and recommendations contained within the response. </w:t>
            </w:r>
          </w:p>
        </w:tc>
        <w:tc>
          <w:tcPr>
            <w:tcW w:w="6237" w:type="dxa"/>
            <w:shd w:val="clear" w:color="auto" w:fill="auto"/>
          </w:tcPr>
          <w:p w:rsidR="00E10391" w:rsidRPr="001F5251" w:rsidRDefault="00E10391" w:rsidP="00E10391">
            <w:pPr>
              <w:numPr>
                <w:ilvl w:val="0"/>
                <w:numId w:val="24"/>
              </w:numPr>
              <w:spacing w:before="40" w:after="40"/>
              <w:ind w:left="284"/>
              <w:rPr>
                <w:rFonts w:ascii="Arial" w:hAnsi="Arial" w:cs="Arial"/>
                <w:sz w:val="18"/>
                <w:szCs w:val="18"/>
              </w:rPr>
            </w:pPr>
            <w:r w:rsidRPr="001F5251">
              <w:rPr>
                <w:rFonts w:ascii="Arial" w:hAnsi="Arial" w:cs="Arial"/>
                <w:sz w:val="18"/>
                <w:szCs w:val="18"/>
              </w:rPr>
              <w:t>Ability to differentiate professional opinion, advice or recommendations from literature findings.</w:t>
            </w:r>
          </w:p>
          <w:p w:rsidR="00E10391" w:rsidRPr="001F5251" w:rsidRDefault="00E10391" w:rsidP="00E10391">
            <w:pPr>
              <w:numPr>
                <w:ilvl w:val="0"/>
                <w:numId w:val="24"/>
              </w:numPr>
              <w:spacing w:before="40" w:after="40"/>
              <w:ind w:left="284"/>
              <w:rPr>
                <w:rFonts w:ascii="Arial" w:hAnsi="Arial" w:cs="Arial"/>
                <w:sz w:val="18"/>
                <w:szCs w:val="18"/>
              </w:rPr>
            </w:pPr>
            <w:r w:rsidRPr="001F5251">
              <w:rPr>
                <w:rFonts w:ascii="Arial" w:hAnsi="Arial" w:cs="Arial"/>
                <w:sz w:val="18"/>
                <w:szCs w:val="18"/>
              </w:rPr>
              <w:t xml:space="preserve">Ability to justify opinions, advice and recommendations by reference to the evidence base, pharmacological knowledge, consumer or drug factors and/or presenting circumstances. </w:t>
            </w:r>
          </w:p>
        </w:tc>
      </w:tr>
    </w:tbl>
    <w:p w:rsidR="00E10391" w:rsidRDefault="00E10391" w:rsidP="00E10391">
      <w:pPr>
        <w:pStyle w:val="AHPRASubhead"/>
        <w:rPr>
          <w:rFonts w:cs="Arial"/>
          <w:szCs w:val="20"/>
        </w:rPr>
      </w:pPr>
    </w:p>
    <w:p w:rsidR="00E10391" w:rsidRDefault="00E10391" w:rsidP="00E10391">
      <w:pPr>
        <w:spacing w:after="0"/>
        <w:rPr>
          <w:rFonts w:ascii="Arial" w:eastAsiaTheme="majorEastAsia" w:hAnsi="Arial" w:cs="Arial"/>
          <w:b/>
          <w:bCs/>
          <w:color w:val="FF0000"/>
          <w:sz w:val="26"/>
          <w:szCs w:val="26"/>
        </w:rPr>
      </w:pPr>
      <w:r>
        <w:rPr>
          <w:rFonts w:ascii="Arial" w:hAnsi="Arial" w:cs="Arial"/>
          <w:color w:val="FF0000"/>
        </w:rPr>
        <w:br w:type="page"/>
      </w:r>
    </w:p>
    <w:p w:rsidR="00E10391" w:rsidRPr="00D80945" w:rsidRDefault="00E10391" w:rsidP="00E10391">
      <w:pPr>
        <w:pStyle w:val="Heading3"/>
        <w:rPr>
          <w:rFonts w:ascii="Arial" w:hAnsi="Arial" w:cs="Arial"/>
        </w:rPr>
      </w:pPr>
      <w:bookmarkStart w:id="35" w:name="_Toc377638257"/>
      <w:r w:rsidRPr="00D80945">
        <w:rPr>
          <w:rFonts w:ascii="Arial" w:hAnsi="Arial" w:cs="Arial"/>
          <w:color w:val="FF0000"/>
        </w:rPr>
        <w:lastRenderedPageBreak/>
        <w:t>Standard 8.</w:t>
      </w:r>
      <w:r>
        <w:rPr>
          <w:rFonts w:ascii="Arial" w:hAnsi="Arial" w:cs="Arial"/>
          <w:color w:val="FF0000"/>
        </w:rPr>
        <w:t>2</w:t>
      </w:r>
      <w:r w:rsidRPr="00D80945">
        <w:rPr>
          <w:rFonts w:ascii="Arial" w:hAnsi="Arial" w:cs="Arial"/>
        </w:rPr>
        <w:t xml:space="preserve"> </w:t>
      </w:r>
      <w:r>
        <w:rPr>
          <w:rFonts w:ascii="Arial" w:hAnsi="Arial" w:cs="Arial"/>
        </w:rPr>
        <w:t>Engage in health</w:t>
      </w:r>
      <w:r w:rsidRPr="00D80945">
        <w:rPr>
          <w:rFonts w:ascii="Arial" w:hAnsi="Arial" w:cs="Arial"/>
        </w:rPr>
        <w:t xml:space="preserve">, </w:t>
      </w:r>
      <w:r>
        <w:rPr>
          <w:rFonts w:ascii="Arial" w:hAnsi="Arial" w:cs="Arial"/>
        </w:rPr>
        <w:t>medicines and pharmacy practice research</w:t>
      </w:r>
      <w:bookmarkEnd w:id="35"/>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237"/>
      </w:tblGrid>
      <w:tr w:rsidR="00E10391" w:rsidRPr="002209E8" w:rsidTr="00A66271">
        <w:trPr>
          <w:cantSplit/>
          <w:tblHeader/>
        </w:trPr>
        <w:tc>
          <w:tcPr>
            <w:tcW w:w="3686" w:type="dxa"/>
            <w:tcBorders>
              <w:top w:val="nil"/>
              <w:left w:val="nil"/>
              <w:right w:val="nil"/>
            </w:tcBorders>
          </w:tcPr>
          <w:p w:rsidR="00E10391" w:rsidRPr="00C0418B" w:rsidRDefault="00E10391" w:rsidP="00A66271">
            <w:pPr>
              <w:spacing w:before="40" w:after="40"/>
              <w:ind w:left="567" w:hanging="567"/>
              <w:rPr>
                <w:rFonts w:ascii="Arial" w:hAnsi="Arial" w:cs="Arial"/>
                <w:b/>
                <w:sz w:val="18"/>
                <w:szCs w:val="18"/>
              </w:rPr>
            </w:pPr>
          </w:p>
        </w:tc>
        <w:tc>
          <w:tcPr>
            <w:tcW w:w="6237" w:type="dxa"/>
            <w:tcBorders>
              <w:top w:val="nil"/>
              <w:left w:val="nil"/>
              <w:right w:val="nil"/>
            </w:tcBorders>
          </w:tcPr>
          <w:p w:rsidR="00E10391" w:rsidRPr="00C0418B" w:rsidRDefault="00E10391" w:rsidP="00A66271">
            <w:pPr>
              <w:spacing w:before="40" w:after="40"/>
              <w:ind w:left="227" w:hanging="284"/>
              <w:jc w:val="right"/>
              <w:rPr>
                <w:rFonts w:ascii="Arial" w:hAnsi="Arial" w:cs="Arial"/>
                <w:b/>
                <w:i/>
                <w:sz w:val="18"/>
                <w:szCs w:val="18"/>
              </w:rPr>
            </w:pPr>
          </w:p>
        </w:tc>
      </w:tr>
      <w:tr w:rsidR="00E10391" w:rsidRPr="002209E8" w:rsidTr="00A66271">
        <w:trPr>
          <w:cantSplit/>
          <w:tblHeader/>
        </w:trPr>
        <w:tc>
          <w:tcPr>
            <w:tcW w:w="3686" w:type="dxa"/>
            <w:tcBorders>
              <w:bottom w:val="single" w:sz="4" w:space="0" w:color="auto"/>
            </w:tcBorders>
            <w:shd w:val="clear" w:color="auto" w:fill="548DD4" w:themeFill="text2" w:themeFillTint="99"/>
          </w:tcPr>
          <w:p w:rsidR="00E10391" w:rsidRPr="00C0418B" w:rsidRDefault="00E10391" w:rsidP="00186360">
            <w:pPr>
              <w:spacing w:before="40" w:after="40"/>
              <w:ind w:left="567" w:hanging="567"/>
              <w:rPr>
                <w:rFonts w:ascii="Arial" w:hAnsi="Arial" w:cs="Arial"/>
                <w:b/>
                <w:sz w:val="18"/>
                <w:szCs w:val="18"/>
              </w:rPr>
            </w:pPr>
            <w:r w:rsidRPr="00C0418B">
              <w:rPr>
                <w:rFonts w:ascii="Arial" w:hAnsi="Arial" w:cs="Arial"/>
                <w:b/>
                <w:sz w:val="18"/>
                <w:szCs w:val="18"/>
              </w:rPr>
              <w:t xml:space="preserve">Performance </w:t>
            </w:r>
            <w:r w:rsidR="00186360">
              <w:rPr>
                <w:rFonts w:ascii="Arial" w:hAnsi="Arial" w:cs="Arial"/>
                <w:b/>
                <w:sz w:val="18"/>
                <w:szCs w:val="18"/>
              </w:rPr>
              <w:t>c</w:t>
            </w:r>
            <w:r w:rsidRPr="00C0418B">
              <w:rPr>
                <w:rFonts w:ascii="Arial" w:hAnsi="Arial" w:cs="Arial"/>
                <w:b/>
                <w:sz w:val="18"/>
                <w:szCs w:val="18"/>
              </w:rPr>
              <w:t>riteria</w:t>
            </w:r>
          </w:p>
        </w:tc>
        <w:tc>
          <w:tcPr>
            <w:tcW w:w="6237" w:type="dxa"/>
            <w:tcBorders>
              <w:bottom w:val="single" w:sz="4" w:space="0" w:color="auto"/>
            </w:tcBorders>
            <w:shd w:val="clear" w:color="auto" w:fill="548DD4" w:themeFill="text2" w:themeFillTint="99"/>
          </w:tcPr>
          <w:p w:rsidR="00E10391" w:rsidRPr="00C0418B" w:rsidRDefault="00E10391" w:rsidP="00186360">
            <w:pPr>
              <w:spacing w:before="40" w:after="40"/>
              <w:ind w:left="284" w:hanging="284"/>
              <w:rPr>
                <w:rFonts w:ascii="Arial" w:hAnsi="Arial" w:cs="Arial"/>
                <w:b/>
                <w:sz w:val="18"/>
                <w:szCs w:val="18"/>
              </w:rPr>
            </w:pPr>
            <w:r w:rsidRPr="00C0418B">
              <w:rPr>
                <w:rFonts w:ascii="Arial" w:hAnsi="Arial" w:cs="Arial"/>
                <w:b/>
                <w:sz w:val="18"/>
                <w:szCs w:val="18"/>
              </w:rPr>
              <w:t xml:space="preserve">Evidence </w:t>
            </w:r>
            <w:r w:rsidR="00186360">
              <w:rPr>
                <w:rFonts w:ascii="Arial" w:hAnsi="Arial" w:cs="Arial"/>
                <w:b/>
                <w:sz w:val="18"/>
                <w:szCs w:val="18"/>
              </w:rPr>
              <w:t>e</w:t>
            </w:r>
            <w:r w:rsidRPr="00C0418B">
              <w:rPr>
                <w:rFonts w:ascii="Arial" w:hAnsi="Arial" w:cs="Arial"/>
                <w:b/>
                <w:sz w:val="18"/>
                <w:szCs w:val="18"/>
              </w:rPr>
              <w:t>xamples</w:t>
            </w:r>
          </w:p>
        </w:tc>
      </w:tr>
      <w:tr w:rsidR="00E10391" w:rsidRPr="002209E8" w:rsidTr="00A66271">
        <w:trPr>
          <w:cantSplit/>
        </w:trPr>
        <w:tc>
          <w:tcPr>
            <w:tcW w:w="9923" w:type="dxa"/>
            <w:gridSpan w:val="2"/>
            <w:tcBorders>
              <w:bottom w:val="single" w:sz="4" w:space="0" w:color="auto"/>
            </w:tcBorders>
            <w:shd w:val="clear" w:color="auto" w:fill="FABF8F" w:themeFill="accent6" w:themeFillTint="99"/>
          </w:tcPr>
          <w:p w:rsidR="00E10391" w:rsidRPr="00C0418B" w:rsidRDefault="00E10391" w:rsidP="00A66271">
            <w:pPr>
              <w:spacing w:before="40" w:after="40"/>
              <w:ind w:left="284" w:hanging="284"/>
              <w:rPr>
                <w:rFonts w:ascii="Arial" w:hAnsi="Arial" w:cs="Arial"/>
                <w:b/>
                <w:sz w:val="18"/>
                <w:szCs w:val="18"/>
              </w:rPr>
            </w:pPr>
            <w:r w:rsidRPr="00C0418B">
              <w:rPr>
                <w:rFonts w:ascii="Arial" w:hAnsi="Arial" w:cs="Arial"/>
                <w:b/>
                <w:sz w:val="18"/>
                <w:szCs w:val="18"/>
              </w:rPr>
              <w:t>Element 1 – Understand research principles and concepts</w:t>
            </w:r>
          </w:p>
        </w:tc>
      </w:tr>
      <w:tr w:rsidR="00E10391" w:rsidRPr="002209E8" w:rsidTr="00A66271">
        <w:trPr>
          <w:cantSplit/>
        </w:trPr>
        <w:tc>
          <w:tcPr>
            <w:tcW w:w="3686" w:type="dxa"/>
            <w:shd w:val="clear" w:color="auto" w:fill="DBE5F1" w:themeFill="accent1" w:themeFillTint="33"/>
          </w:tcPr>
          <w:p w:rsidR="00E10391" w:rsidRPr="00C0418B" w:rsidRDefault="00E10391" w:rsidP="00A66271">
            <w:pPr>
              <w:spacing w:before="40" w:after="40"/>
              <w:ind w:left="397" w:hanging="397"/>
              <w:rPr>
                <w:rFonts w:ascii="Arial" w:hAnsi="Arial" w:cs="Arial"/>
                <w:sz w:val="18"/>
                <w:szCs w:val="18"/>
              </w:rPr>
            </w:pPr>
            <w:r w:rsidRPr="00C0418B">
              <w:rPr>
                <w:rFonts w:ascii="Arial" w:hAnsi="Arial" w:cs="Arial"/>
                <w:sz w:val="18"/>
                <w:szCs w:val="18"/>
              </w:rPr>
              <w:t>1</w:t>
            </w:r>
            <w:r w:rsidRPr="00C0418B">
              <w:rPr>
                <w:rFonts w:ascii="Arial" w:hAnsi="Arial" w:cs="Arial"/>
                <w:sz w:val="18"/>
                <w:szCs w:val="18"/>
              </w:rPr>
              <w:tab/>
              <w:t>Understands research ethics and methods and key issues impacting on the design of research protocols.</w:t>
            </w:r>
          </w:p>
        </w:tc>
        <w:tc>
          <w:tcPr>
            <w:tcW w:w="6237" w:type="dxa"/>
            <w:shd w:val="clear" w:color="auto" w:fill="DBE5F1" w:themeFill="accent1" w:themeFillTint="33"/>
          </w:tcPr>
          <w:p w:rsidR="00E10391" w:rsidRPr="00C0418B" w:rsidRDefault="00E10391" w:rsidP="00E10391">
            <w:pPr>
              <w:numPr>
                <w:ilvl w:val="0"/>
                <w:numId w:val="24"/>
              </w:numPr>
              <w:spacing w:before="40" w:after="40"/>
              <w:ind w:left="284"/>
              <w:rPr>
                <w:rFonts w:ascii="Arial" w:hAnsi="Arial" w:cs="Arial"/>
                <w:sz w:val="18"/>
                <w:szCs w:val="18"/>
              </w:rPr>
            </w:pPr>
            <w:r w:rsidRPr="00C0418B">
              <w:rPr>
                <w:rFonts w:ascii="Arial" w:hAnsi="Arial" w:cs="Arial"/>
                <w:sz w:val="18"/>
                <w:szCs w:val="18"/>
              </w:rPr>
              <w:t>Ability to discuss ethical principles relevant to undertaking research (e.g. avoidance of conflict of interest, respect of participating individuals, maintenance of integrity and beneficence).</w:t>
            </w:r>
          </w:p>
          <w:p w:rsidR="00E10391" w:rsidRPr="00C0418B" w:rsidRDefault="00E10391" w:rsidP="00E10391">
            <w:pPr>
              <w:numPr>
                <w:ilvl w:val="0"/>
                <w:numId w:val="24"/>
              </w:numPr>
              <w:spacing w:before="40" w:after="40"/>
              <w:ind w:left="284"/>
              <w:rPr>
                <w:rFonts w:ascii="Arial" w:hAnsi="Arial" w:cs="Arial"/>
                <w:sz w:val="18"/>
                <w:szCs w:val="18"/>
              </w:rPr>
            </w:pPr>
            <w:r w:rsidRPr="00C0418B">
              <w:rPr>
                <w:rFonts w:ascii="Arial" w:hAnsi="Arial" w:cs="Arial"/>
                <w:sz w:val="18"/>
                <w:szCs w:val="18"/>
              </w:rPr>
              <w:t>Ability to describe key factors to be considered in the design of research protocols (e.g. sample size, duration, inclusion and exclusion criteria, avoidance of bias, analysis technique).</w:t>
            </w:r>
          </w:p>
          <w:p w:rsidR="00E10391" w:rsidRPr="00C0418B" w:rsidRDefault="00E10391" w:rsidP="00E10391">
            <w:pPr>
              <w:numPr>
                <w:ilvl w:val="0"/>
                <w:numId w:val="24"/>
              </w:numPr>
              <w:spacing w:before="40" w:after="40"/>
              <w:ind w:left="284"/>
              <w:rPr>
                <w:rFonts w:ascii="Arial" w:hAnsi="Arial" w:cs="Arial"/>
                <w:sz w:val="18"/>
                <w:szCs w:val="18"/>
              </w:rPr>
            </w:pPr>
            <w:r w:rsidRPr="00C0418B">
              <w:rPr>
                <w:rFonts w:ascii="Arial" w:hAnsi="Arial" w:cs="Arial"/>
                <w:sz w:val="18"/>
                <w:szCs w:val="18"/>
              </w:rPr>
              <w:t>Ability to describe the differences in core features of common research methods (e.g. case control study, cohort study, RCT, qualitative research methods).</w:t>
            </w:r>
          </w:p>
        </w:tc>
      </w:tr>
      <w:tr w:rsidR="00E10391" w:rsidRPr="002209E8" w:rsidTr="00A66271">
        <w:trPr>
          <w:cantSplit/>
        </w:trPr>
        <w:tc>
          <w:tcPr>
            <w:tcW w:w="3686" w:type="dxa"/>
            <w:shd w:val="clear" w:color="auto" w:fill="DBE5F1" w:themeFill="accent1" w:themeFillTint="33"/>
          </w:tcPr>
          <w:p w:rsidR="00E10391" w:rsidRPr="00C0418B" w:rsidRDefault="00E10391" w:rsidP="00A66271">
            <w:pPr>
              <w:spacing w:before="40" w:after="40"/>
              <w:ind w:left="397" w:hanging="397"/>
              <w:rPr>
                <w:rFonts w:ascii="Arial" w:hAnsi="Arial" w:cs="Arial"/>
                <w:sz w:val="18"/>
                <w:szCs w:val="18"/>
              </w:rPr>
            </w:pPr>
            <w:r w:rsidRPr="00C0418B">
              <w:rPr>
                <w:rFonts w:ascii="Arial" w:hAnsi="Arial" w:cs="Arial"/>
                <w:sz w:val="18"/>
                <w:szCs w:val="18"/>
              </w:rPr>
              <w:t>2</w:t>
            </w:r>
            <w:r w:rsidRPr="00C0418B">
              <w:rPr>
                <w:rFonts w:ascii="Arial" w:hAnsi="Arial" w:cs="Arial"/>
                <w:sz w:val="18"/>
                <w:szCs w:val="18"/>
              </w:rPr>
              <w:tab/>
              <w:t>Understands statistical terms and techniques used to analyse research data.</w:t>
            </w:r>
          </w:p>
        </w:tc>
        <w:tc>
          <w:tcPr>
            <w:tcW w:w="6237" w:type="dxa"/>
            <w:shd w:val="clear" w:color="auto" w:fill="DBE5F1" w:themeFill="accent1" w:themeFillTint="33"/>
          </w:tcPr>
          <w:p w:rsidR="00E10391" w:rsidRPr="00C0418B" w:rsidRDefault="00E10391" w:rsidP="00E10391">
            <w:pPr>
              <w:numPr>
                <w:ilvl w:val="0"/>
                <w:numId w:val="24"/>
              </w:numPr>
              <w:spacing w:before="40" w:after="40"/>
              <w:ind w:left="284" w:hanging="284"/>
              <w:rPr>
                <w:rFonts w:ascii="Arial" w:hAnsi="Arial" w:cs="Arial"/>
                <w:sz w:val="18"/>
                <w:szCs w:val="18"/>
              </w:rPr>
            </w:pPr>
            <w:r w:rsidRPr="00C0418B">
              <w:rPr>
                <w:rFonts w:ascii="Arial" w:hAnsi="Arial" w:cs="Arial"/>
                <w:sz w:val="18"/>
                <w:szCs w:val="18"/>
              </w:rPr>
              <w:t>Ability to describe statistical terms and techniques (e.g. t-test, p-value, confidence intervals, regression analysis).</w:t>
            </w:r>
          </w:p>
          <w:p w:rsidR="00E10391" w:rsidRPr="00C0418B" w:rsidRDefault="00E10391" w:rsidP="00E10391">
            <w:pPr>
              <w:numPr>
                <w:ilvl w:val="0"/>
                <w:numId w:val="24"/>
              </w:numPr>
              <w:spacing w:before="40" w:after="40"/>
              <w:ind w:left="284" w:hanging="284"/>
              <w:rPr>
                <w:rFonts w:ascii="Arial" w:hAnsi="Arial" w:cs="Arial"/>
                <w:sz w:val="18"/>
                <w:szCs w:val="18"/>
              </w:rPr>
            </w:pPr>
            <w:r w:rsidRPr="00C0418B">
              <w:rPr>
                <w:rFonts w:ascii="Arial" w:hAnsi="Arial" w:cs="Arial"/>
                <w:sz w:val="18"/>
                <w:szCs w:val="18"/>
              </w:rPr>
              <w:t>Ability to discuss how statistical issues (e.g. sample size) impact on research design.</w:t>
            </w:r>
          </w:p>
          <w:p w:rsidR="00E10391" w:rsidRPr="00C0418B" w:rsidRDefault="00E10391" w:rsidP="00E10391">
            <w:pPr>
              <w:numPr>
                <w:ilvl w:val="0"/>
                <w:numId w:val="24"/>
              </w:numPr>
              <w:spacing w:before="40" w:after="40"/>
              <w:ind w:left="284" w:hanging="284"/>
              <w:rPr>
                <w:rFonts w:ascii="Arial" w:hAnsi="Arial" w:cs="Arial"/>
                <w:sz w:val="18"/>
                <w:szCs w:val="18"/>
              </w:rPr>
            </w:pPr>
            <w:r w:rsidRPr="00C0418B">
              <w:rPr>
                <w:rFonts w:ascii="Arial" w:hAnsi="Arial" w:cs="Arial"/>
                <w:sz w:val="18"/>
                <w:szCs w:val="18"/>
              </w:rPr>
              <w:t>Ability to describe key economic concepts such as cost-effectiveness and cost benefit.</w:t>
            </w:r>
          </w:p>
        </w:tc>
      </w:tr>
      <w:tr w:rsidR="00E10391" w:rsidRPr="002209E8" w:rsidTr="00A66271">
        <w:trPr>
          <w:cantSplit/>
        </w:trPr>
        <w:tc>
          <w:tcPr>
            <w:tcW w:w="3686" w:type="dxa"/>
            <w:shd w:val="clear" w:color="auto" w:fill="auto"/>
          </w:tcPr>
          <w:p w:rsidR="00E10391" w:rsidRPr="00C0418B" w:rsidRDefault="00E10391" w:rsidP="00A66271">
            <w:pPr>
              <w:spacing w:before="40" w:after="40"/>
              <w:ind w:left="397" w:hanging="397"/>
              <w:rPr>
                <w:rFonts w:ascii="Arial" w:hAnsi="Arial" w:cs="Arial"/>
                <w:sz w:val="18"/>
                <w:szCs w:val="18"/>
              </w:rPr>
            </w:pPr>
            <w:r w:rsidRPr="00C0418B">
              <w:rPr>
                <w:rFonts w:ascii="Arial" w:hAnsi="Arial" w:cs="Arial"/>
                <w:sz w:val="18"/>
                <w:szCs w:val="18"/>
              </w:rPr>
              <w:t>3</w:t>
            </w:r>
            <w:r w:rsidRPr="00C0418B">
              <w:rPr>
                <w:rFonts w:ascii="Arial" w:hAnsi="Arial" w:cs="Arial"/>
                <w:sz w:val="18"/>
                <w:szCs w:val="18"/>
              </w:rPr>
              <w:tab/>
              <w:t>Understands the relationship that must be maintained between the research question, the findings and conclusions.</w:t>
            </w:r>
          </w:p>
        </w:tc>
        <w:tc>
          <w:tcPr>
            <w:tcW w:w="6237" w:type="dxa"/>
            <w:shd w:val="clear" w:color="auto" w:fill="auto"/>
          </w:tcPr>
          <w:p w:rsidR="00E10391" w:rsidRPr="00C0418B" w:rsidRDefault="00E10391" w:rsidP="00E10391">
            <w:pPr>
              <w:numPr>
                <w:ilvl w:val="0"/>
                <w:numId w:val="24"/>
              </w:numPr>
              <w:spacing w:before="40" w:after="40"/>
              <w:ind w:left="284" w:hanging="284"/>
              <w:rPr>
                <w:rFonts w:ascii="Arial" w:hAnsi="Arial" w:cs="Arial"/>
                <w:sz w:val="18"/>
                <w:szCs w:val="18"/>
              </w:rPr>
            </w:pPr>
            <w:r w:rsidRPr="00C0418B">
              <w:rPr>
                <w:rFonts w:ascii="Arial" w:hAnsi="Arial" w:cs="Arial"/>
                <w:sz w:val="18"/>
                <w:szCs w:val="18"/>
              </w:rPr>
              <w:t>Ability to describe the direct and logical connection between the research question, what the research has shown and the conclusions drawn.</w:t>
            </w:r>
          </w:p>
        </w:tc>
      </w:tr>
      <w:tr w:rsidR="00E10391" w:rsidRPr="002209E8" w:rsidTr="00A66271">
        <w:trPr>
          <w:cantSplit/>
        </w:trPr>
        <w:tc>
          <w:tcPr>
            <w:tcW w:w="3686" w:type="dxa"/>
            <w:shd w:val="clear" w:color="auto" w:fill="auto"/>
          </w:tcPr>
          <w:p w:rsidR="00E10391" w:rsidRPr="00C0418B" w:rsidRDefault="00E10391" w:rsidP="00A66271">
            <w:pPr>
              <w:spacing w:before="40" w:after="40"/>
              <w:ind w:left="397" w:hanging="397"/>
              <w:rPr>
                <w:rFonts w:ascii="Arial" w:hAnsi="Arial" w:cs="Arial"/>
                <w:sz w:val="18"/>
                <w:szCs w:val="18"/>
              </w:rPr>
            </w:pPr>
            <w:r w:rsidRPr="00C0418B">
              <w:rPr>
                <w:rFonts w:ascii="Arial" w:hAnsi="Arial" w:cs="Arial"/>
                <w:sz w:val="18"/>
                <w:szCs w:val="18"/>
              </w:rPr>
              <w:t>4</w:t>
            </w:r>
            <w:r w:rsidRPr="00C0418B">
              <w:rPr>
                <w:rFonts w:ascii="Arial" w:hAnsi="Arial" w:cs="Arial"/>
                <w:sz w:val="18"/>
                <w:szCs w:val="18"/>
              </w:rPr>
              <w:tab/>
              <w:t>Understands the importance of consumer involvement in research.</w:t>
            </w:r>
          </w:p>
        </w:tc>
        <w:tc>
          <w:tcPr>
            <w:tcW w:w="6237" w:type="dxa"/>
            <w:shd w:val="clear" w:color="auto" w:fill="auto"/>
          </w:tcPr>
          <w:p w:rsidR="00E10391" w:rsidRPr="00C0418B" w:rsidRDefault="00E10391" w:rsidP="00E10391">
            <w:pPr>
              <w:numPr>
                <w:ilvl w:val="0"/>
                <w:numId w:val="24"/>
              </w:numPr>
              <w:spacing w:before="40" w:after="40"/>
              <w:ind w:left="284" w:hanging="284"/>
              <w:rPr>
                <w:rFonts w:ascii="Arial" w:hAnsi="Arial" w:cs="Arial"/>
                <w:sz w:val="18"/>
                <w:szCs w:val="18"/>
              </w:rPr>
            </w:pPr>
            <w:r w:rsidRPr="00C0418B">
              <w:rPr>
                <w:rFonts w:ascii="Arial" w:hAnsi="Arial" w:cs="Arial"/>
                <w:sz w:val="18"/>
                <w:szCs w:val="18"/>
              </w:rPr>
              <w:t>Ability to discuss the means by which consumer involvement in research is encouraged and facilitated.</w:t>
            </w:r>
          </w:p>
        </w:tc>
      </w:tr>
      <w:tr w:rsidR="00E10391" w:rsidRPr="002209E8" w:rsidTr="00A66271">
        <w:trPr>
          <w:cantSplit/>
        </w:trPr>
        <w:tc>
          <w:tcPr>
            <w:tcW w:w="9923" w:type="dxa"/>
            <w:gridSpan w:val="2"/>
            <w:shd w:val="clear" w:color="auto" w:fill="FABF8F" w:themeFill="accent6" w:themeFillTint="99"/>
          </w:tcPr>
          <w:p w:rsidR="00E10391" w:rsidRPr="00C0418B" w:rsidRDefault="00E10391" w:rsidP="00A66271">
            <w:pPr>
              <w:spacing w:before="40" w:after="40"/>
              <w:rPr>
                <w:rFonts w:ascii="Arial" w:hAnsi="Arial" w:cs="Arial"/>
                <w:b/>
                <w:sz w:val="18"/>
                <w:szCs w:val="18"/>
              </w:rPr>
            </w:pPr>
            <w:r w:rsidRPr="00C0418B">
              <w:rPr>
                <w:rFonts w:ascii="Arial" w:hAnsi="Arial" w:cs="Arial"/>
                <w:b/>
                <w:sz w:val="18"/>
                <w:szCs w:val="18"/>
              </w:rPr>
              <w:t xml:space="preserve">Element 2 – Conduct research </w:t>
            </w:r>
          </w:p>
        </w:tc>
      </w:tr>
      <w:tr w:rsidR="00E10391" w:rsidRPr="002209E8" w:rsidTr="00A66271">
        <w:trPr>
          <w:cantSplit/>
        </w:trPr>
        <w:tc>
          <w:tcPr>
            <w:tcW w:w="3686" w:type="dxa"/>
            <w:shd w:val="clear" w:color="auto" w:fill="auto"/>
          </w:tcPr>
          <w:p w:rsidR="00E10391" w:rsidRPr="00C0418B" w:rsidRDefault="00E10391" w:rsidP="00A66271">
            <w:pPr>
              <w:spacing w:before="40" w:after="40"/>
              <w:ind w:left="397" w:hanging="397"/>
              <w:rPr>
                <w:rFonts w:ascii="Arial" w:hAnsi="Arial" w:cs="Arial"/>
                <w:sz w:val="18"/>
                <w:szCs w:val="18"/>
              </w:rPr>
            </w:pPr>
            <w:r w:rsidRPr="00C0418B">
              <w:rPr>
                <w:rFonts w:ascii="Arial" w:hAnsi="Arial" w:cs="Arial"/>
                <w:sz w:val="18"/>
                <w:szCs w:val="18"/>
              </w:rPr>
              <w:t>1</w:t>
            </w:r>
            <w:r w:rsidRPr="00C0418B">
              <w:rPr>
                <w:rFonts w:ascii="Arial" w:hAnsi="Arial" w:cs="Arial"/>
                <w:sz w:val="18"/>
                <w:szCs w:val="18"/>
              </w:rPr>
              <w:tab/>
              <w:t>Adopts a rigorous and systematic approach to identifying areas where there is a gap in the evidence base.</w:t>
            </w:r>
          </w:p>
        </w:tc>
        <w:tc>
          <w:tcPr>
            <w:tcW w:w="6237" w:type="dxa"/>
            <w:shd w:val="clear" w:color="auto" w:fill="auto"/>
          </w:tcPr>
          <w:p w:rsidR="00E10391" w:rsidRPr="00C0418B" w:rsidRDefault="00E10391" w:rsidP="00E10391">
            <w:pPr>
              <w:numPr>
                <w:ilvl w:val="0"/>
                <w:numId w:val="24"/>
              </w:numPr>
              <w:spacing w:before="40" w:after="40"/>
              <w:ind w:left="284" w:hanging="284"/>
              <w:rPr>
                <w:rFonts w:ascii="Arial" w:hAnsi="Arial" w:cs="Arial"/>
                <w:sz w:val="18"/>
                <w:szCs w:val="18"/>
              </w:rPr>
            </w:pPr>
            <w:r w:rsidRPr="00C0418B">
              <w:rPr>
                <w:rFonts w:ascii="Arial" w:hAnsi="Arial" w:cs="Arial"/>
                <w:sz w:val="18"/>
                <w:szCs w:val="18"/>
              </w:rPr>
              <w:t>Ability to apply a systematic approach to identify and prioritise areas where there are gaps in the evidence base.</w:t>
            </w:r>
          </w:p>
          <w:p w:rsidR="00E10391" w:rsidRPr="00C0418B" w:rsidRDefault="00E10391" w:rsidP="00E10391">
            <w:pPr>
              <w:numPr>
                <w:ilvl w:val="0"/>
                <w:numId w:val="24"/>
              </w:numPr>
              <w:spacing w:before="40" w:after="40"/>
              <w:ind w:left="284" w:hanging="284"/>
              <w:rPr>
                <w:rFonts w:ascii="Arial" w:hAnsi="Arial" w:cs="Arial"/>
                <w:sz w:val="18"/>
                <w:szCs w:val="18"/>
              </w:rPr>
            </w:pPr>
            <w:r w:rsidRPr="00C0418B">
              <w:rPr>
                <w:rFonts w:ascii="Arial" w:hAnsi="Arial" w:cs="Arial"/>
                <w:sz w:val="18"/>
                <w:szCs w:val="18"/>
              </w:rPr>
              <w:t>Ability to describe and justify a research need.</w:t>
            </w:r>
          </w:p>
          <w:p w:rsidR="00E10391" w:rsidRPr="00C0418B" w:rsidRDefault="00E10391" w:rsidP="00E10391">
            <w:pPr>
              <w:numPr>
                <w:ilvl w:val="0"/>
                <w:numId w:val="24"/>
              </w:numPr>
              <w:spacing w:before="40" w:after="40"/>
              <w:ind w:left="284" w:hanging="284"/>
              <w:rPr>
                <w:rFonts w:ascii="Arial" w:hAnsi="Arial" w:cs="Arial"/>
                <w:sz w:val="18"/>
                <w:szCs w:val="18"/>
              </w:rPr>
            </w:pPr>
            <w:r w:rsidRPr="00C0418B">
              <w:rPr>
                <w:rFonts w:ascii="Arial" w:hAnsi="Arial" w:cs="Arial"/>
                <w:sz w:val="18"/>
                <w:szCs w:val="18"/>
              </w:rPr>
              <w:t>Ability to clearly articulate the research question intended to be answered by the proposed research.</w:t>
            </w:r>
          </w:p>
        </w:tc>
      </w:tr>
      <w:tr w:rsidR="00E10391" w:rsidRPr="002209E8" w:rsidTr="00A66271">
        <w:trPr>
          <w:cantSplit/>
        </w:trPr>
        <w:tc>
          <w:tcPr>
            <w:tcW w:w="3686" w:type="dxa"/>
            <w:shd w:val="clear" w:color="auto" w:fill="auto"/>
          </w:tcPr>
          <w:p w:rsidR="00E10391" w:rsidRPr="00C0418B" w:rsidRDefault="00E10391" w:rsidP="00A66271">
            <w:pPr>
              <w:spacing w:before="40" w:after="40"/>
              <w:ind w:left="397" w:hanging="397"/>
              <w:rPr>
                <w:rFonts w:ascii="Arial" w:hAnsi="Arial" w:cs="Arial"/>
                <w:b/>
                <w:i/>
                <w:sz w:val="18"/>
                <w:szCs w:val="18"/>
              </w:rPr>
            </w:pPr>
            <w:r w:rsidRPr="00C0418B">
              <w:rPr>
                <w:rFonts w:ascii="Arial" w:hAnsi="Arial" w:cs="Arial"/>
                <w:sz w:val="18"/>
                <w:szCs w:val="18"/>
              </w:rPr>
              <w:t>2</w:t>
            </w:r>
            <w:r w:rsidRPr="00C0418B">
              <w:rPr>
                <w:rFonts w:ascii="Arial" w:hAnsi="Arial" w:cs="Arial"/>
                <w:sz w:val="18"/>
                <w:szCs w:val="18"/>
              </w:rPr>
              <w:tab/>
              <w:t>Critically analyse and review literature to establish existing knowledge in the area of research interest.</w:t>
            </w:r>
          </w:p>
        </w:tc>
        <w:tc>
          <w:tcPr>
            <w:tcW w:w="6237" w:type="dxa"/>
            <w:shd w:val="clear" w:color="auto" w:fill="auto"/>
          </w:tcPr>
          <w:p w:rsidR="00E10391" w:rsidRPr="00C0418B" w:rsidRDefault="00E10391" w:rsidP="00E10391">
            <w:pPr>
              <w:numPr>
                <w:ilvl w:val="0"/>
                <w:numId w:val="24"/>
              </w:numPr>
              <w:spacing w:before="40" w:after="40"/>
              <w:ind w:left="284"/>
              <w:rPr>
                <w:rFonts w:ascii="Arial" w:hAnsi="Arial" w:cs="Arial"/>
                <w:sz w:val="18"/>
                <w:szCs w:val="18"/>
              </w:rPr>
            </w:pPr>
            <w:r w:rsidRPr="00C0418B">
              <w:rPr>
                <w:rFonts w:ascii="Arial" w:hAnsi="Arial" w:cs="Arial"/>
                <w:sz w:val="18"/>
                <w:szCs w:val="18"/>
              </w:rPr>
              <w:t>Ability to undertake a literature review of the area of research interest.</w:t>
            </w:r>
          </w:p>
          <w:p w:rsidR="00E10391" w:rsidRPr="00C0418B" w:rsidRDefault="00E10391" w:rsidP="00E10391">
            <w:pPr>
              <w:numPr>
                <w:ilvl w:val="0"/>
                <w:numId w:val="24"/>
              </w:numPr>
              <w:spacing w:before="40" w:after="40"/>
              <w:ind w:left="284"/>
              <w:rPr>
                <w:rFonts w:ascii="Arial" w:hAnsi="Arial" w:cs="Arial"/>
                <w:sz w:val="18"/>
                <w:szCs w:val="18"/>
              </w:rPr>
            </w:pPr>
            <w:r w:rsidRPr="00C0418B">
              <w:rPr>
                <w:rFonts w:ascii="Arial" w:hAnsi="Arial" w:cs="Arial"/>
                <w:sz w:val="18"/>
                <w:szCs w:val="18"/>
              </w:rPr>
              <w:t xml:space="preserve">Ability to discuss the evidence gap demonstrated by the literature review. </w:t>
            </w:r>
          </w:p>
        </w:tc>
      </w:tr>
      <w:tr w:rsidR="00E10391" w:rsidRPr="002209E8" w:rsidTr="00A66271">
        <w:trPr>
          <w:cantSplit/>
        </w:trPr>
        <w:tc>
          <w:tcPr>
            <w:tcW w:w="3686" w:type="dxa"/>
            <w:shd w:val="clear" w:color="auto" w:fill="auto"/>
          </w:tcPr>
          <w:p w:rsidR="00E10391" w:rsidRPr="00C0418B" w:rsidRDefault="00E10391" w:rsidP="00A66271">
            <w:pPr>
              <w:spacing w:before="40" w:after="40"/>
              <w:ind w:left="397" w:hanging="397"/>
              <w:rPr>
                <w:rFonts w:ascii="Arial" w:hAnsi="Arial" w:cs="Arial"/>
                <w:sz w:val="18"/>
                <w:szCs w:val="18"/>
              </w:rPr>
            </w:pPr>
            <w:r w:rsidRPr="00C0418B">
              <w:rPr>
                <w:rFonts w:ascii="Arial" w:hAnsi="Arial" w:cs="Arial"/>
                <w:sz w:val="18"/>
                <w:szCs w:val="18"/>
              </w:rPr>
              <w:t>3</w:t>
            </w:r>
            <w:r w:rsidRPr="00C0418B">
              <w:rPr>
                <w:rFonts w:ascii="Arial" w:hAnsi="Arial" w:cs="Arial"/>
                <w:sz w:val="18"/>
                <w:szCs w:val="18"/>
              </w:rPr>
              <w:tab/>
              <w:t>Develops and defines the research concept and methodology or protocol.</w:t>
            </w:r>
          </w:p>
        </w:tc>
        <w:tc>
          <w:tcPr>
            <w:tcW w:w="6237" w:type="dxa"/>
            <w:shd w:val="clear" w:color="auto" w:fill="auto"/>
          </w:tcPr>
          <w:p w:rsidR="00E10391" w:rsidRPr="00C0418B" w:rsidRDefault="00E10391" w:rsidP="00E10391">
            <w:pPr>
              <w:numPr>
                <w:ilvl w:val="0"/>
                <w:numId w:val="24"/>
              </w:numPr>
              <w:spacing w:before="40" w:after="40"/>
              <w:ind w:left="284"/>
              <w:rPr>
                <w:rFonts w:ascii="Arial" w:hAnsi="Arial" w:cs="Arial"/>
                <w:sz w:val="18"/>
                <w:szCs w:val="18"/>
              </w:rPr>
            </w:pPr>
            <w:r w:rsidRPr="00C0418B">
              <w:rPr>
                <w:rFonts w:ascii="Arial" w:hAnsi="Arial" w:cs="Arial"/>
                <w:sz w:val="18"/>
                <w:szCs w:val="18"/>
              </w:rPr>
              <w:t>Ability to develop a research concept and proposal to explore the area of research interest.</w:t>
            </w:r>
          </w:p>
          <w:p w:rsidR="00E10391" w:rsidRPr="00C0418B" w:rsidRDefault="00E10391" w:rsidP="00E10391">
            <w:pPr>
              <w:numPr>
                <w:ilvl w:val="0"/>
                <w:numId w:val="24"/>
              </w:numPr>
              <w:spacing w:before="40" w:after="40"/>
              <w:ind w:left="284"/>
              <w:rPr>
                <w:rFonts w:ascii="Arial" w:hAnsi="Arial" w:cs="Arial"/>
                <w:sz w:val="18"/>
                <w:szCs w:val="18"/>
              </w:rPr>
            </w:pPr>
            <w:r w:rsidRPr="00C0418B">
              <w:rPr>
                <w:rFonts w:ascii="Arial" w:hAnsi="Arial" w:cs="Arial"/>
                <w:sz w:val="18"/>
                <w:szCs w:val="18"/>
              </w:rPr>
              <w:t>Ability to explain how the research proposal addresses the identified gap in evidence.</w:t>
            </w:r>
          </w:p>
          <w:p w:rsidR="00E10391" w:rsidRPr="00C0418B" w:rsidRDefault="00E10391" w:rsidP="00E10391">
            <w:pPr>
              <w:numPr>
                <w:ilvl w:val="0"/>
                <w:numId w:val="24"/>
              </w:numPr>
              <w:spacing w:before="40" w:after="40"/>
              <w:ind w:left="284"/>
              <w:rPr>
                <w:rFonts w:ascii="Arial" w:hAnsi="Arial" w:cs="Arial"/>
                <w:sz w:val="18"/>
                <w:szCs w:val="18"/>
              </w:rPr>
            </w:pPr>
            <w:r w:rsidRPr="00C0418B">
              <w:rPr>
                <w:rFonts w:ascii="Arial" w:hAnsi="Arial" w:cs="Arial"/>
                <w:sz w:val="18"/>
                <w:szCs w:val="18"/>
              </w:rPr>
              <w:t>Ability to justify the appropriateness of the research method for exploring the research question.</w:t>
            </w:r>
          </w:p>
        </w:tc>
      </w:tr>
      <w:tr w:rsidR="00E10391" w:rsidRPr="002209E8" w:rsidTr="00A66271">
        <w:trPr>
          <w:cantSplit/>
        </w:trPr>
        <w:tc>
          <w:tcPr>
            <w:tcW w:w="3686" w:type="dxa"/>
            <w:shd w:val="clear" w:color="auto" w:fill="auto"/>
          </w:tcPr>
          <w:p w:rsidR="00E10391" w:rsidRPr="00C0418B" w:rsidRDefault="00E10391" w:rsidP="00A66271">
            <w:pPr>
              <w:spacing w:before="40" w:after="40"/>
              <w:ind w:left="397" w:hanging="397"/>
              <w:rPr>
                <w:rFonts w:ascii="Arial" w:hAnsi="Arial" w:cs="Arial"/>
                <w:sz w:val="18"/>
                <w:szCs w:val="18"/>
              </w:rPr>
            </w:pPr>
            <w:r w:rsidRPr="00C0418B">
              <w:rPr>
                <w:rFonts w:ascii="Arial" w:hAnsi="Arial" w:cs="Arial"/>
                <w:sz w:val="18"/>
                <w:szCs w:val="18"/>
              </w:rPr>
              <w:t>4</w:t>
            </w:r>
            <w:r w:rsidRPr="00C0418B">
              <w:rPr>
                <w:rFonts w:ascii="Arial" w:hAnsi="Arial" w:cs="Arial"/>
                <w:sz w:val="18"/>
                <w:szCs w:val="18"/>
              </w:rPr>
              <w:tab/>
              <w:t>Ensures required approvals are secured.</w:t>
            </w:r>
          </w:p>
        </w:tc>
        <w:tc>
          <w:tcPr>
            <w:tcW w:w="6237" w:type="dxa"/>
            <w:shd w:val="clear" w:color="auto" w:fill="auto"/>
          </w:tcPr>
          <w:p w:rsidR="00E10391" w:rsidRPr="00C0418B" w:rsidRDefault="00E10391" w:rsidP="00E10391">
            <w:pPr>
              <w:numPr>
                <w:ilvl w:val="0"/>
                <w:numId w:val="24"/>
              </w:numPr>
              <w:spacing w:before="40" w:after="40"/>
              <w:ind w:left="284"/>
              <w:rPr>
                <w:rFonts w:ascii="Arial" w:hAnsi="Arial" w:cs="Arial"/>
                <w:sz w:val="18"/>
                <w:szCs w:val="18"/>
              </w:rPr>
            </w:pPr>
            <w:r w:rsidRPr="00C0418B">
              <w:rPr>
                <w:rFonts w:ascii="Arial" w:hAnsi="Arial" w:cs="Arial"/>
                <w:sz w:val="18"/>
                <w:szCs w:val="18"/>
              </w:rPr>
              <w:t>Ability to describe approvals required as prerequisites for commencement of research (e.g. institutional or ethics committee approvals, grant application approval for funding).</w:t>
            </w:r>
          </w:p>
          <w:p w:rsidR="00E10391" w:rsidRPr="00C0418B" w:rsidRDefault="00E10391" w:rsidP="00E10391">
            <w:pPr>
              <w:numPr>
                <w:ilvl w:val="0"/>
                <w:numId w:val="24"/>
              </w:numPr>
              <w:spacing w:before="40" w:after="40"/>
              <w:ind w:left="284"/>
              <w:rPr>
                <w:rFonts w:ascii="Arial" w:hAnsi="Arial" w:cs="Arial"/>
                <w:sz w:val="18"/>
                <w:szCs w:val="18"/>
              </w:rPr>
            </w:pPr>
            <w:r w:rsidRPr="00C0418B">
              <w:rPr>
                <w:rFonts w:ascii="Arial" w:hAnsi="Arial" w:cs="Arial"/>
                <w:sz w:val="18"/>
                <w:szCs w:val="18"/>
              </w:rPr>
              <w:t xml:space="preserve">Ability to complete documentation required to gain relevant approvals. </w:t>
            </w:r>
          </w:p>
        </w:tc>
      </w:tr>
      <w:tr w:rsidR="00E10391" w:rsidRPr="002209E8" w:rsidTr="00A66271">
        <w:trPr>
          <w:cantSplit/>
        </w:trPr>
        <w:tc>
          <w:tcPr>
            <w:tcW w:w="3686" w:type="dxa"/>
            <w:shd w:val="clear" w:color="auto" w:fill="auto"/>
          </w:tcPr>
          <w:p w:rsidR="00E10391" w:rsidRPr="00C0418B" w:rsidRDefault="00E10391" w:rsidP="00A66271">
            <w:pPr>
              <w:spacing w:before="40" w:after="40"/>
              <w:ind w:left="397" w:hanging="397"/>
              <w:rPr>
                <w:rFonts w:ascii="Arial" w:hAnsi="Arial" w:cs="Arial"/>
                <w:sz w:val="18"/>
                <w:szCs w:val="18"/>
              </w:rPr>
            </w:pPr>
            <w:r w:rsidRPr="00C0418B">
              <w:rPr>
                <w:rFonts w:ascii="Arial" w:hAnsi="Arial" w:cs="Arial"/>
                <w:sz w:val="18"/>
                <w:szCs w:val="18"/>
              </w:rPr>
              <w:t>5</w:t>
            </w:r>
            <w:r w:rsidRPr="00C0418B">
              <w:rPr>
                <w:rFonts w:ascii="Arial" w:hAnsi="Arial" w:cs="Arial"/>
                <w:sz w:val="18"/>
                <w:szCs w:val="18"/>
              </w:rPr>
              <w:tab/>
              <w:t>Conducts the research according to the research proposal, explicitly accounting for any variations.</w:t>
            </w:r>
          </w:p>
        </w:tc>
        <w:tc>
          <w:tcPr>
            <w:tcW w:w="6237" w:type="dxa"/>
            <w:shd w:val="clear" w:color="auto" w:fill="auto"/>
          </w:tcPr>
          <w:p w:rsidR="00E10391" w:rsidRPr="00C0418B" w:rsidRDefault="00E10391" w:rsidP="00E10391">
            <w:pPr>
              <w:numPr>
                <w:ilvl w:val="0"/>
                <w:numId w:val="24"/>
              </w:numPr>
              <w:spacing w:before="40" w:after="40"/>
              <w:ind w:left="284" w:hanging="284"/>
              <w:rPr>
                <w:rFonts w:ascii="Arial" w:hAnsi="Arial" w:cs="Arial"/>
                <w:sz w:val="18"/>
                <w:szCs w:val="18"/>
              </w:rPr>
            </w:pPr>
            <w:r w:rsidRPr="00C0418B">
              <w:rPr>
                <w:rFonts w:ascii="Arial" w:hAnsi="Arial" w:cs="Arial"/>
                <w:sz w:val="18"/>
                <w:szCs w:val="18"/>
              </w:rPr>
              <w:t>Ability to collect and document quantitative and/or qualitative data relevant to the research question.</w:t>
            </w:r>
          </w:p>
          <w:p w:rsidR="00E10391" w:rsidRPr="00C0418B" w:rsidRDefault="00E10391" w:rsidP="00E10391">
            <w:pPr>
              <w:numPr>
                <w:ilvl w:val="0"/>
                <w:numId w:val="24"/>
              </w:numPr>
              <w:spacing w:before="40" w:after="40"/>
              <w:ind w:left="284" w:hanging="284"/>
              <w:rPr>
                <w:rFonts w:ascii="Arial" w:hAnsi="Arial" w:cs="Arial"/>
                <w:sz w:val="18"/>
                <w:szCs w:val="18"/>
              </w:rPr>
            </w:pPr>
            <w:r w:rsidRPr="00C0418B">
              <w:rPr>
                <w:rFonts w:ascii="Arial" w:hAnsi="Arial" w:cs="Arial"/>
                <w:sz w:val="18"/>
                <w:szCs w:val="18"/>
              </w:rPr>
              <w:t>Ability to describe any variations to methodology, their impact and how these have been addressed to assure the validity of the research.</w:t>
            </w:r>
          </w:p>
        </w:tc>
      </w:tr>
      <w:tr w:rsidR="00E10391" w:rsidRPr="002209E8" w:rsidTr="00A66271">
        <w:trPr>
          <w:cantSplit/>
        </w:trPr>
        <w:tc>
          <w:tcPr>
            <w:tcW w:w="3686" w:type="dxa"/>
            <w:shd w:val="clear" w:color="auto" w:fill="auto"/>
          </w:tcPr>
          <w:p w:rsidR="00E10391" w:rsidRPr="00C0418B" w:rsidRDefault="00E10391" w:rsidP="00A66271">
            <w:pPr>
              <w:spacing w:before="40" w:after="40"/>
              <w:ind w:left="397" w:hanging="397"/>
              <w:rPr>
                <w:rFonts w:ascii="Arial" w:hAnsi="Arial" w:cs="Arial"/>
                <w:sz w:val="18"/>
                <w:szCs w:val="18"/>
              </w:rPr>
            </w:pPr>
            <w:r w:rsidRPr="00C0418B">
              <w:rPr>
                <w:rFonts w:ascii="Arial" w:hAnsi="Arial" w:cs="Arial"/>
                <w:sz w:val="18"/>
                <w:szCs w:val="18"/>
              </w:rPr>
              <w:t>6</w:t>
            </w:r>
            <w:r w:rsidRPr="00C0418B">
              <w:rPr>
                <w:rFonts w:ascii="Arial" w:hAnsi="Arial" w:cs="Arial"/>
                <w:b/>
                <w:i/>
                <w:sz w:val="18"/>
                <w:szCs w:val="18"/>
              </w:rPr>
              <w:tab/>
            </w:r>
            <w:r w:rsidRPr="00C0418B">
              <w:rPr>
                <w:rFonts w:ascii="Arial" w:hAnsi="Arial" w:cs="Arial"/>
                <w:sz w:val="18"/>
                <w:szCs w:val="18"/>
              </w:rPr>
              <w:t>Analyses and interprets the</w:t>
            </w:r>
            <w:r w:rsidRPr="00C0418B">
              <w:rPr>
                <w:rFonts w:ascii="Arial" w:hAnsi="Arial" w:cs="Arial"/>
                <w:b/>
                <w:i/>
                <w:sz w:val="18"/>
                <w:szCs w:val="18"/>
              </w:rPr>
              <w:t xml:space="preserve"> </w:t>
            </w:r>
            <w:r w:rsidRPr="00C0418B">
              <w:rPr>
                <w:rFonts w:ascii="Arial" w:hAnsi="Arial" w:cs="Arial"/>
                <w:sz w:val="18"/>
                <w:szCs w:val="18"/>
              </w:rPr>
              <w:t>research results to clarify findings.</w:t>
            </w:r>
          </w:p>
        </w:tc>
        <w:tc>
          <w:tcPr>
            <w:tcW w:w="6237" w:type="dxa"/>
            <w:shd w:val="clear" w:color="auto" w:fill="auto"/>
          </w:tcPr>
          <w:p w:rsidR="00E10391" w:rsidRPr="00C0418B" w:rsidRDefault="00E10391" w:rsidP="00E10391">
            <w:pPr>
              <w:numPr>
                <w:ilvl w:val="0"/>
                <w:numId w:val="24"/>
              </w:numPr>
              <w:spacing w:before="40" w:after="40"/>
              <w:ind w:left="284"/>
              <w:rPr>
                <w:rFonts w:ascii="Arial" w:hAnsi="Arial" w:cs="Arial"/>
                <w:sz w:val="18"/>
                <w:szCs w:val="18"/>
              </w:rPr>
            </w:pPr>
            <w:r w:rsidRPr="00C0418B">
              <w:rPr>
                <w:rFonts w:ascii="Arial" w:hAnsi="Arial" w:cs="Arial"/>
                <w:sz w:val="18"/>
                <w:szCs w:val="18"/>
              </w:rPr>
              <w:t>Ability to accurately undertake calculations and statistical analysis on grouped data, including costs.</w:t>
            </w:r>
          </w:p>
          <w:p w:rsidR="00E10391" w:rsidRPr="00C0418B" w:rsidRDefault="00E10391" w:rsidP="00E10391">
            <w:pPr>
              <w:numPr>
                <w:ilvl w:val="0"/>
                <w:numId w:val="24"/>
              </w:numPr>
              <w:spacing w:before="40" w:after="40"/>
              <w:ind w:left="284"/>
              <w:rPr>
                <w:rFonts w:ascii="Arial" w:hAnsi="Arial" w:cs="Arial"/>
                <w:sz w:val="18"/>
                <w:szCs w:val="18"/>
              </w:rPr>
            </w:pPr>
            <w:r w:rsidRPr="00C0418B">
              <w:rPr>
                <w:rFonts w:ascii="Arial" w:hAnsi="Arial" w:cs="Arial"/>
                <w:sz w:val="18"/>
                <w:szCs w:val="18"/>
              </w:rPr>
              <w:t>Ability to apply analytical and clinical reasoning skills to results to establish the research findings.</w:t>
            </w:r>
          </w:p>
          <w:p w:rsidR="00E10391" w:rsidRPr="00C0418B" w:rsidRDefault="00E10391" w:rsidP="00E10391">
            <w:pPr>
              <w:numPr>
                <w:ilvl w:val="0"/>
                <w:numId w:val="24"/>
              </w:numPr>
              <w:spacing w:before="40" w:after="40"/>
              <w:ind w:left="284"/>
              <w:rPr>
                <w:rFonts w:ascii="Arial" w:hAnsi="Arial" w:cs="Arial"/>
                <w:sz w:val="18"/>
                <w:szCs w:val="18"/>
              </w:rPr>
            </w:pPr>
            <w:r w:rsidRPr="00C0418B">
              <w:rPr>
                <w:rFonts w:ascii="Arial" w:hAnsi="Arial" w:cs="Arial"/>
                <w:sz w:val="18"/>
                <w:szCs w:val="18"/>
              </w:rPr>
              <w:t>Ability to discuss research findings in terms of the research question.</w:t>
            </w:r>
          </w:p>
        </w:tc>
      </w:tr>
      <w:tr w:rsidR="00E10391" w:rsidRPr="002209E8" w:rsidTr="00A66271">
        <w:trPr>
          <w:cantSplit/>
        </w:trPr>
        <w:tc>
          <w:tcPr>
            <w:tcW w:w="3686" w:type="dxa"/>
            <w:shd w:val="clear" w:color="auto" w:fill="auto"/>
          </w:tcPr>
          <w:p w:rsidR="00E10391" w:rsidRPr="00C0418B" w:rsidRDefault="00E10391" w:rsidP="00A66271">
            <w:pPr>
              <w:pStyle w:val="FootnoteText"/>
              <w:spacing w:before="40" w:after="40"/>
              <w:ind w:left="397" w:hanging="397"/>
              <w:rPr>
                <w:rFonts w:ascii="Arial" w:hAnsi="Arial" w:cs="Arial"/>
                <w:sz w:val="18"/>
                <w:szCs w:val="18"/>
              </w:rPr>
            </w:pPr>
            <w:r w:rsidRPr="00C0418B">
              <w:rPr>
                <w:rFonts w:ascii="Arial" w:hAnsi="Arial" w:cs="Arial"/>
                <w:sz w:val="18"/>
                <w:szCs w:val="18"/>
              </w:rPr>
              <w:lastRenderedPageBreak/>
              <w:t>7</w:t>
            </w:r>
            <w:r w:rsidRPr="00C0418B">
              <w:rPr>
                <w:rFonts w:ascii="Arial" w:hAnsi="Arial" w:cs="Arial"/>
                <w:sz w:val="18"/>
                <w:szCs w:val="18"/>
              </w:rPr>
              <w:tab/>
              <w:t>Formulates discussion and conclusions that are supported by the research findings.</w:t>
            </w:r>
          </w:p>
        </w:tc>
        <w:tc>
          <w:tcPr>
            <w:tcW w:w="6237" w:type="dxa"/>
            <w:shd w:val="clear" w:color="auto" w:fill="auto"/>
          </w:tcPr>
          <w:p w:rsidR="00E10391" w:rsidRPr="00C0418B" w:rsidRDefault="00E10391" w:rsidP="00E10391">
            <w:pPr>
              <w:numPr>
                <w:ilvl w:val="0"/>
                <w:numId w:val="24"/>
              </w:numPr>
              <w:spacing w:before="40" w:after="40"/>
              <w:ind w:left="284" w:hanging="284"/>
              <w:rPr>
                <w:rFonts w:ascii="Arial" w:hAnsi="Arial" w:cs="Arial"/>
                <w:sz w:val="18"/>
                <w:szCs w:val="18"/>
              </w:rPr>
            </w:pPr>
            <w:r w:rsidRPr="00C0418B">
              <w:rPr>
                <w:rFonts w:ascii="Arial" w:hAnsi="Arial" w:cs="Arial"/>
                <w:sz w:val="18"/>
                <w:szCs w:val="18"/>
              </w:rPr>
              <w:t>Ability to explain and justify the discussion and conclusions in terms of the research findings.</w:t>
            </w:r>
          </w:p>
          <w:p w:rsidR="00E10391" w:rsidRPr="00C0418B" w:rsidRDefault="00E10391" w:rsidP="00E10391">
            <w:pPr>
              <w:numPr>
                <w:ilvl w:val="0"/>
                <w:numId w:val="24"/>
              </w:numPr>
              <w:spacing w:before="40" w:after="40"/>
              <w:ind w:left="284"/>
              <w:rPr>
                <w:rFonts w:ascii="Arial" w:hAnsi="Arial" w:cs="Arial"/>
                <w:sz w:val="18"/>
                <w:szCs w:val="18"/>
              </w:rPr>
            </w:pPr>
            <w:r w:rsidRPr="00C0418B">
              <w:rPr>
                <w:rFonts w:ascii="Arial" w:hAnsi="Arial" w:cs="Arial"/>
                <w:sz w:val="18"/>
                <w:szCs w:val="18"/>
              </w:rPr>
              <w:t>Ability to recognise and describe the limitations of the research methodology and/or findings.</w:t>
            </w:r>
          </w:p>
          <w:p w:rsidR="00E10391" w:rsidRPr="00C0418B" w:rsidRDefault="00E10391" w:rsidP="00E10391">
            <w:pPr>
              <w:numPr>
                <w:ilvl w:val="0"/>
                <w:numId w:val="24"/>
              </w:numPr>
              <w:spacing w:before="40" w:after="40"/>
              <w:ind w:left="284"/>
              <w:rPr>
                <w:rFonts w:ascii="Arial" w:hAnsi="Arial" w:cs="Arial"/>
                <w:sz w:val="18"/>
                <w:szCs w:val="18"/>
              </w:rPr>
            </w:pPr>
            <w:r w:rsidRPr="00C0418B">
              <w:rPr>
                <w:rFonts w:ascii="Arial" w:hAnsi="Arial" w:cs="Arial"/>
                <w:sz w:val="18"/>
                <w:szCs w:val="18"/>
              </w:rPr>
              <w:t>Ability to describe the clinical significance of the findings and/or the extent to which they may be generalised or applied to other settings.</w:t>
            </w:r>
          </w:p>
        </w:tc>
      </w:tr>
      <w:tr w:rsidR="00E10391" w:rsidRPr="002209E8" w:rsidTr="00A66271">
        <w:trPr>
          <w:cantSplit/>
        </w:trPr>
        <w:tc>
          <w:tcPr>
            <w:tcW w:w="3686" w:type="dxa"/>
            <w:shd w:val="clear" w:color="auto" w:fill="auto"/>
          </w:tcPr>
          <w:p w:rsidR="00E10391" w:rsidRPr="00C0418B" w:rsidRDefault="00E10391" w:rsidP="00A66271">
            <w:pPr>
              <w:pStyle w:val="FootnoteText"/>
              <w:spacing w:before="40" w:after="40"/>
              <w:ind w:left="397" w:hanging="397"/>
              <w:rPr>
                <w:rFonts w:ascii="Arial" w:hAnsi="Arial" w:cs="Arial"/>
                <w:sz w:val="18"/>
                <w:szCs w:val="18"/>
              </w:rPr>
            </w:pPr>
            <w:r w:rsidRPr="00C0418B">
              <w:rPr>
                <w:rFonts w:ascii="Arial" w:hAnsi="Arial" w:cs="Arial"/>
                <w:sz w:val="18"/>
                <w:szCs w:val="18"/>
              </w:rPr>
              <w:t>8</w:t>
            </w:r>
            <w:r w:rsidRPr="00C0418B">
              <w:rPr>
                <w:rFonts w:ascii="Arial" w:hAnsi="Arial" w:cs="Arial"/>
                <w:sz w:val="18"/>
                <w:szCs w:val="18"/>
              </w:rPr>
              <w:tab/>
              <w:t>Accepts responsibility for the management and retention of research data and materials.</w:t>
            </w:r>
          </w:p>
        </w:tc>
        <w:tc>
          <w:tcPr>
            <w:tcW w:w="6237" w:type="dxa"/>
            <w:shd w:val="clear" w:color="auto" w:fill="auto"/>
          </w:tcPr>
          <w:p w:rsidR="00E10391" w:rsidRPr="00C0418B" w:rsidRDefault="00E10391" w:rsidP="00E10391">
            <w:pPr>
              <w:numPr>
                <w:ilvl w:val="0"/>
                <w:numId w:val="24"/>
              </w:numPr>
              <w:spacing w:before="40" w:after="40"/>
              <w:ind w:left="284" w:hanging="284"/>
              <w:rPr>
                <w:rFonts w:ascii="Arial" w:hAnsi="Arial" w:cs="Arial"/>
                <w:sz w:val="18"/>
                <w:szCs w:val="18"/>
              </w:rPr>
            </w:pPr>
            <w:r w:rsidRPr="00C0418B">
              <w:rPr>
                <w:rFonts w:ascii="Arial" w:hAnsi="Arial" w:cs="Arial"/>
                <w:sz w:val="18"/>
                <w:szCs w:val="18"/>
              </w:rPr>
              <w:t>Ability to discuss the data and primary materials that should be retained.</w:t>
            </w:r>
          </w:p>
          <w:p w:rsidR="00E10391" w:rsidRPr="00C0418B" w:rsidRDefault="00E10391" w:rsidP="00E10391">
            <w:pPr>
              <w:numPr>
                <w:ilvl w:val="0"/>
                <w:numId w:val="24"/>
              </w:numPr>
              <w:spacing w:before="40" w:after="40"/>
              <w:ind w:left="284" w:hanging="284"/>
              <w:rPr>
                <w:rFonts w:ascii="Arial" w:hAnsi="Arial" w:cs="Arial"/>
                <w:sz w:val="18"/>
                <w:szCs w:val="18"/>
              </w:rPr>
            </w:pPr>
            <w:r w:rsidRPr="00C0418B">
              <w:rPr>
                <w:rFonts w:ascii="Arial" w:hAnsi="Arial" w:cs="Arial"/>
                <w:sz w:val="18"/>
                <w:szCs w:val="18"/>
              </w:rPr>
              <w:t>Ability to describe or demonstrate use of a secure and accessible data storage system.</w:t>
            </w:r>
          </w:p>
        </w:tc>
      </w:tr>
      <w:tr w:rsidR="00E10391" w:rsidRPr="002209E8" w:rsidTr="00A66271">
        <w:trPr>
          <w:cantSplit/>
        </w:trPr>
        <w:tc>
          <w:tcPr>
            <w:tcW w:w="3686" w:type="dxa"/>
            <w:shd w:val="clear" w:color="auto" w:fill="auto"/>
          </w:tcPr>
          <w:p w:rsidR="00E10391" w:rsidRPr="00C0418B" w:rsidRDefault="00E10391" w:rsidP="00A66271">
            <w:pPr>
              <w:pStyle w:val="FootnoteText"/>
              <w:spacing w:before="40" w:after="40"/>
              <w:ind w:left="397" w:hanging="397"/>
              <w:rPr>
                <w:rFonts w:ascii="Arial" w:hAnsi="Arial" w:cs="Arial"/>
                <w:sz w:val="18"/>
                <w:szCs w:val="18"/>
              </w:rPr>
            </w:pPr>
            <w:r w:rsidRPr="00C0418B">
              <w:rPr>
                <w:rFonts w:ascii="Arial" w:hAnsi="Arial" w:cs="Arial"/>
                <w:sz w:val="18"/>
                <w:szCs w:val="18"/>
              </w:rPr>
              <w:t>9</w:t>
            </w:r>
            <w:r w:rsidRPr="00C0418B">
              <w:rPr>
                <w:rFonts w:ascii="Arial" w:hAnsi="Arial" w:cs="Arial"/>
                <w:sz w:val="18"/>
                <w:szCs w:val="18"/>
              </w:rPr>
              <w:tab/>
              <w:t>Documents research findings, including negative findings, accurately and completely.</w:t>
            </w:r>
          </w:p>
        </w:tc>
        <w:tc>
          <w:tcPr>
            <w:tcW w:w="6237" w:type="dxa"/>
            <w:shd w:val="clear" w:color="auto" w:fill="auto"/>
          </w:tcPr>
          <w:p w:rsidR="00E10391" w:rsidRPr="00C0418B" w:rsidRDefault="00E10391" w:rsidP="00E10391">
            <w:pPr>
              <w:numPr>
                <w:ilvl w:val="0"/>
                <w:numId w:val="24"/>
              </w:numPr>
              <w:spacing w:before="40" w:after="40"/>
              <w:ind w:left="284" w:hanging="284"/>
              <w:rPr>
                <w:rFonts w:ascii="Arial" w:hAnsi="Arial" w:cs="Arial"/>
                <w:sz w:val="18"/>
                <w:szCs w:val="18"/>
              </w:rPr>
            </w:pPr>
            <w:r w:rsidRPr="00C0418B">
              <w:rPr>
                <w:rFonts w:ascii="Arial" w:hAnsi="Arial" w:cs="Arial"/>
                <w:sz w:val="18"/>
                <w:szCs w:val="18"/>
              </w:rPr>
              <w:t>Ability to write a scientific paper that accurately reports methods, findings and conclusions.</w:t>
            </w:r>
          </w:p>
        </w:tc>
      </w:tr>
      <w:tr w:rsidR="00E10391" w:rsidRPr="002209E8" w:rsidTr="00A66271">
        <w:trPr>
          <w:cantSplit/>
        </w:trPr>
        <w:tc>
          <w:tcPr>
            <w:tcW w:w="9923" w:type="dxa"/>
            <w:gridSpan w:val="2"/>
            <w:tcBorders>
              <w:bottom w:val="single" w:sz="4" w:space="0" w:color="auto"/>
            </w:tcBorders>
            <w:shd w:val="clear" w:color="auto" w:fill="FABF8F" w:themeFill="accent6" w:themeFillTint="99"/>
          </w:tcPr>
          <w:p w:rsidR="00E10391" w:rsidRPr="00465118" w:rsidRDefault="00E10391" w:rsidP="00A66271">
            <w:pPr>
              <w:spacing w:before="40" w:after="40"/>
              <w:ind w:left="284" w:hanging="284"/>
              <w:rPr>
                <w:rFonts w:ascii="Arial" w:hAnsi="Arial" w:cs="Arial"/>
                <w:b/>
                <w:sz w:val="18"/>
                <w:szCs w:val="18"/>
              </w:rPr>
            </w:pPr>
            <w:r w:rsidRPr="00465118">
              <w:rPr>
                <w:rFonts w:ascii="Arial" w:hAnsi="Arial" w:cs="Arial"/>
                <w:b/>
                <w:sz w:val="18"/>
                <w:szCs w:val="18"/>
              </w:rPr>
              <w:t>Element 3 – Disseminate and apply findings</w:t>
            </w:r>
          </w:p>
        </w:tc>
      </w:tr>
      <w:tr w:rsidR="00E10391" w:rsidRPr="002209E8" w:rsidTr="00A66271">
        <w:trPr>
          <w:cantSplit/>
        </w:trPr>
        <w:tc>
          <w:tcPr>
            <w:tcW w:w="3686" w:type="dxa"/>
          </w:tcPr>
          <w:p w:rsidR="00E10391" w:rsidRPr="00465118" w:rsidRDefault="00E10391" w:rsidP="00A66271">
            <w:pPr>
              <w:spacing w:before="40" w:after="40"/>
              <w:ind w:left="397" w:hanging="397"/>
              <w:rPr>
                <w:rFonts w:ascii="Arial" w:hAnsi="Arial" w:cs="Arial"/>
                <w:sz w:val="18"/>
                <w:szCs w:val="18"/>
              </w:rPr>
            </w:pPr>
            <w:r w:rsidRPr="00465118">
              <w:rPr>
                <w:rFonts w:ascii="Arial" w:hAnsi="Arial" w:cs="Arial"/>
                <w:sz w:val="18"/>
                <w:szCs w:val="18"/>
              </w:rPr>
              <w:t>1</w:t>
            </w:r>
            <w:r w:rsidRPr="00465118">
              <w:rPr>
                <w:rFonts w:ascii="Arial" w:hAnsi="Arial" w:cs="Arial"/>
                <w:sz w:val="18"/>
                <w:szCs w:val="18"/>
              </w:rPr>
              <w:tab/>
              <w:t>Identifies the most appropriate dissemination strategies for sharing findings with colleagues and the wider community.</w:t>
            </w:r>
          </w:p>
        </w:tc>
        <w:tc>
          <w:tcPr>
            <w:tcW w:w="6237" w:type="dxa"/>
          </w:tcPr>
          <w:p w:rsidR="00E10391" w:rsidRPr="00465118" w:rsidRDefault="00E10391" w:rsidP="00E10391">
            <w:pPr>
              <w:numPr>
                <w:ilvl w:val="0"/>
                <w:numId w:val="24"/>
              </w:numPr>
              <w:spacing w:before="40" w:after="40"/>
              <w:ind w:left="284"/>
              <w:rPr>
                <w:rFonts w:ascii="Arial" w:hAnsi="Arial" w:cs="Arial"/>
                <w:sz w:val="18"/>
                <w:szCs w:val="18"/>
              </w:rPr>
            </w:pPr>
            <w:r w:rsidRPr="00465118">
              <w:rPr>
                <w:rFonts w:ascii="Arial" w:hAnsi="Arial" w:cs="Arial"/>
                <w:sz w:val="18"/>
                <w:szCs w:val="18"/>
              </w:rPr>
              <w:t>Ability to describe a range of dissemination strategies for sharing research findings (e.g. web-based publication, in-service presentation in the workplace, publication in professional journal, national or international conference presentation).</w:t>
            </w:r>
          </w:p>
        </w:tc>
      </w:tr>
      <w:tr w:rsidR="00E10391" w:rsidTr="00A66271">
        <w:trPr>
          <w:cantSplit/>
        </w:trPr>
        <w:tc>
          <w:tcPr>
            <w:tcW w:w="3686" w:type="dxa"/>
          </w:tcPr>
          <w:p w:rsidR="00E10391" w:rsidRPr="00465118" w:rsidRDefault="00E10391" w:rsidP="00A66271">
            <w:pPr>
              <w:spacing w:before="40" w:after="40"/>
              <w:ind w:left="397" w:hanging="397"/>
              <w:rPr>
                <w:rFonts w:ascii="Arial" w:hAnsi="Arial" w:cs="Arial"/>
                <w:sz w:val="18"/>
                <w:szCs w:val="18"/>
              </w:rPr>
            </w:pPr>
            <w:r w:rsidRPr="00465118">
              <w:rPr>
                <w:rFonts w:ascii="Arial" w:hAnsi="Arial" w:cs="Arial"/>
                <w:sz w:val="18"/>
                <w:szCs w:val="18"/>
              </w:rPr>
              <w:t>2</w:t>
            </w:r>
            <w:r w:rsidRPr="00465118">
              <w:rPr>
                <w:rFonts w:ascii="Arial" w:hAnsi="Arial" w:cs="Arial"/>
                <w:sz w:val="18"/>
                <w:szCs w:val="18"/>
              </w:rPr>
              <w:tab/>
              <w:t>Promotes practice change and enhanced knowledge by responsibly sharing research findings.</w:t>
            </w:r>
          </w:p>
        </w:tc>
        <w:tc>
          <w:tcPr>
            <w:tcW w:w="6237" w:type="dxa"/>
          </w:tcPr>
          <w:p w:rsidR="00E10391" w:rsidRPr="00465118" w:rsidRDefault="00E10391" w:rsidP="00E10391">
            <w:pPr>
              <w:numPr>
                <w:ilvl w:val="0"/>
                <w:numId w:val="24"/>
              </w:numPr>
              <w:spacing w:before="40" w:after="40"/>
              <w:ind w:left="284"/>
              <w:rPr>
                <w:rFonts w:ascii="Arial" w:hAnsi="Arial" w:cs="Arial"/>
                <w:sz w:val="18"/>
                <w:szCs w:val="18"/>
              </w:rPr>
            </w:pPr>
            <w:r w:rsidRPr="00465118">
              <w:rPr>
                <w:rFonts w:ascii="Arial" w:hAnsi="Arial" w:cs="Arial"/>
                <w:sz w:val="18"/>
                <w:szCs w:val="18"/>
              </w:rPr>
              <w:t>Ability to justify the choice of dissemination strategy.</w:t>
            </w:r>
          </w:p>
          <w:p w:rsidR="00E10391" w:rsidRPr="00465118" w:rsidRDefault="00E10391" w:rsidP="00E10391">
            <w:pPr>
              <w:numPr>
                <w:ilvl w:val="0"/>
                <w:numId w:val="24"/>
              </w:numPr>
              <w:spacing w:before="40" w:after="40"/>
              <w:ind w:left="284"/>
              <w:rPr>
                <w:rFonts w:ascii="Arial" w:hAnsi="Arial" w:cs="Arial"/>
                <w:sz w:val="18"/>
                <w:szCs w:val="18"/>
              </w:rPr>
            </w:pPr>
            <w:r w:rsidRPr="00465118">
              <w:rPr>
                <w:rFonts w:ascii="Arial" w:hAnsi="Arial" w:cs="Arial"/>
                <w:sz w:val="18"/>
                <w:szCs w:val="18"/>
              </w:rPr>
              <w:t>Ability to apply dissemination strategies to responsibly share research findings.</w:t>
            </w:r>
          </w:p>
        </w:tc>
      </w:tr>
      <w:tr w:rsidR="00E10391" w:rsidRPr="002209E8" w:rsidTr="00A66271">
        <w:trPr>
          <w:cantSplit/>
        </w:trPr>
        <w:tc>
          <w:tcPr>
            <w:tcW w:w="3686" w:type="dxa"/>
            <w:tcBorders>
              <w:bottom w:val="single" w:sz="4" w:space="0" w:color="auto"/>
            </w:tcBorders>
            <w:shd w:val="clear" w:color="auto" w:fill="DBE5F1" w:themeFill="accent1" w:themeFillTint="33"/>
          </w:tcPr>
          <w:p w:rsidR="00E10391" w:rsidRPr="00465118" w:rsidRDefault="00E10391" w:rsidP="00A66271">
            <w:pPr>
              <w:spacing w:before="40" w:after="40"/>
              <w:ind w:left="397" w:hanging="397"/>
              <w:rPr>
                <w:rFonts w:ascii="Arial" w:hAnsi="Arial" w:cs="Arial"/>
                <w:sz w:val="18"/>
                <w:szCs w:val="18"/>
              </w:rPr>
            </w:pPr>
            <w:r w:rsidRPr="00465118">
              <w:rPr>
                <w:rFonts w:ascii="Arial" w:hAnsi="Arial" w:cs="Arial"/>
                <w:sz w:val="18"/>
                <w:szCs w:val="18"/>
              </w:rPr>
              <w:t>3</w:t>
            </w:r>
            <w:r w:rsidRPr="00465118">
              <w:rPr>
                <w:rFonts w:ascii="Arial" w:hAnsi="Arial" w:cs="Arial"/>
                <w:sz w:val="18"/>
                <w:szCs w:val="18"/>
              </w:rPr>
              <w:tab/>
              <w:t>Integrate research evidence into professional practice.</w:t>
            </w:r>
          </w:p>
        </w:tc>
        <w:tc>
          <w:tcPr>
            <w:tcW w:w="6237" w:type="dxa"/>
            <w:tcBorders>
              <w:bottom w:val="single" w:sz="4" w:space="0" w:color="auto"/>
            </w:tcBorders>
            <w:shd w:val="clear" w:color="auto" w:fill="DBE5F1" w:themeFill="accent1" w:themeFillTint="33"/>
          </w:tcPr>
          <w:p w:rsidR="00E10391" w:rsidRPr="00465118" w:rsidRDefault="00E10391" w:rsidP="00E10391">
            <w:pPr>
              <w:numPr>
                <w:ilvl w:val="0"/>
                <w:numId w:val="24"/>
              </w:numPr>
              <w:spacing w:before="40" w:after="40"/>
              <w:ind w:left="284"/>
              <w:rPr>
                <w:rFonts w:ascii="Arial" w:hAnsi="Arial" w:cs="Arial"/>
                <w:sz w:val="18"/>
                <w:szCs w:val="18"/>
              </w:rPr>
            </w:pPr>
            <w:r w:rsidRPr="00465118">
              <w:rPr>
                <w:rFonts w:ascii="Arial" w:hAnsi="Arial" w:cs="Arial"/>
                <w:sz w:val="18"/>
                <w:szCs w:val="18"/>
              </w:rPr>
              <w:t>Ability to describe and justify required adjustments to workplace systems or practices in response to research findings.</w:t>
            </w:r>
          </w:p>
          <w:p w:rsidR="00E10391" w:rsidRPr="00465118" w:rsidRDefault="00E10391" w:rsidP="00E10391">
            <w:pPr>
              <w:numPr>
                <w:ilvl w:val="0"/>
                <w:numId w:val="24"/>
              </w:numPr>
              <w:spacing w:before="40" w:after="40"/>
              <w:ind w:left="284"/>
              <w:rPr>
                <w:rFonts w:ascii="Arial" w:hAnsi="Arial" w:cs="Arial"/>
                <w:sz w:val="18"/>
                <w:szCs w:val="18"/>
              </w:rPr>
            </w:pPr>
            <w:r w:rsidRPr="00465118">
              <w:rPr>
                <w:rFonts w:ascii="Arial" w:hAnsi="Arial" w:cs="Arial"/>
                <w:sz w:val="18"/>
                <w:szCs w:val="18"/>
              </w:rPr>
              <w:t>Ability to demonstrate the application of research evidence into systems or policies and procedures.</w:t>
            </w:r>
          </w:p>
          <w:p w:rsidR="00E10391" w:rsidRPr="00465118" w:rsidRDefault="00E10391" w:rsidP="00E10391">
            <w:pPr>
              <w:numPr>
                <w:ilvl w:val="0"/>
                <w:numId w:val="24"/>
              </w:numPr>
              <w:spacing w:before="40" w:after="40"/>
              <w:ind w:left="284"/>
              <w:rPr>
                <w:rFonts w:ascii="Arial" w:hAnsi="Arial" w:cs="Arial"/>
                <w:sz w:val="18"/>
                <w:szCs w:val="18"/>
              </w:rPr>
            </w:pPr>
            <w:r w:rsidRPr="00465118">
              <w:rPr>
                <w:rFonts w:ascii="Arial" w:hAnsi="Arial" w:cs="Arial"/>
                <w:sz w:val="18"/>
                <w:szCs w:val="18"/>
              </w:rPr>
              <w:t>Ability to describe practice changes initiated as a result of application of research evidence.</w:t>
            </w:r>
          </w:p>
        </w:tc>
      </w:tr>
    </w:tbl>
    <w:p w:rsidR="00E10391" w:rsidRPr="00DE4C79" w:rsidRDefault="00E10391" w:rsidP="00E10391">
      <w:pPr>
        <w:pStyle w:val="AHPRAbodytext"/>
      </w:pPr>
    </w:p>
    <w:p w:rsidR="007F3C69" w:rsidRDefault="007F3C69" w:rsidP="00C12296">
      <w:pPr>
        <w:widowControl w:val="0"/>
        <w:autoSpaceDE w:val="0"/>
        <w:autoSpaceDN w:val="0"/>
        <w:adjustRightInd w:val="0"/>
        <w:rPr>
          <w:rFonts w:ascii="Arial" w:hAnsi="Arial" w:cs="Arial"/>
          <w:b/>
          <w:sz w:val="20"/>
          <w:szCs w:val="20"/>
        </w:rPr>
      </w:pPr>
    </w:p>
    <w:p w:rsidR="007F3C69" w:rsidRDefault="007F3C69" w:rsidP="00C12296">
      <w:pPr>
        <w:widowControl w:val="0"/>
        <w:autoSpaceDE w:val="0"/>
        <w:autoSpaceDN w:val="0"/>
        <w:adjustRightInd w:val="0"/>
        <w:rPr>
          <w:rFonts w:ascii="Arial" w:hAnsi="Arial" w:cs="Arial"/>
          <w:b/>
          <w:sz w:val="20"/>
          <w:szCs w:val="20"/>
        </w:rPr>
      </w:pPr>
    </w:p>
    <w:p w:rsidR="005340FD" w:rsidRDefault="005340FD" w:rsidP="005340FD">
      <w:pPr>
        <w:widowControl w:val="0"/>
        <w:autoSpaceDE w:val="0"/>
        <w:autoSpaceDN w:val="0"/>
        <w:adjustRightInd w:val="0"/>
        <w:spacing w:after="0"/>
        <w:rPr>
          <w:rFonts w:ascii="Arial" w:hAnsi="Arial" w:cs="Arial"/>
          <w:b/>
          <w:sz w:val="20"/>
          <w:szCs w:val="20"/>
        </w:rPr>
      </w:pPr>
    </w:p>
    <w:p w:rsidR="00017EEB" w:rsidRDefault="00017EEB" w:rsidP="00C12296">
      <w:pPr>
        <w:widowControl w:val="0"/>
        <w:autoSpaceDE w:val="0"/>
        <w:autoSpaceDN w:val="0"/>
        <w:adjustRightInd w:val="0"/>
        <w:rPr>
          <w:rFonts w:ascii="Arial" w:hAnsi="Arial" w:cs="Arial"/>
          <w:b/>
          <w:sz w:val="20"/>
          <w:szCs w:val="20"/>
          <w:highlight w:val="yellow"/>
        </w:rPr>
      </w:pPr>
    </w:p>
    <w:p w:rsidR="00DA774E" w:rsidRPr="00DE4C79" w:rsidRDefault="00DA774E" w:rsidP="00017EEB">
      <w:pPr>
        <w:spacing w:after="0"/>
      </w:pPr>
    </w:p>
    <w:sectPr w:rsidR="00DA774E" w:rsidRPr="00DE4C79" w:rsidSect="00B942A8">
      <w:footerReference w:type="first" r:id="rId9"/>
      <w:pgSz w:w="11900" w:h="16840"/>
      <w:pgMar w:top="1533" w:right="1268" w:bottom="1418" w:left="1134" w:header="283" w:footer="32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474" w:rsidRDefault="002F0474" w:rsidP="00FC2881">
      <w:pPr>
        <w:spacing w:after="0"/>
      </w:pPr>
      <w:r>
        <w:separator/>
      </w:r>
    </w:p>
  </w:endnote>
  <w:endnote w:type="continuationSeparator" w:id="0">
    <w:p w:rsidR="002F0474" w:rsidRDefault="002F0474" w:rsidP="00FC28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Arial MT Lt">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474" w:rsidRPr="00047AAB" w:rsidRDefault="002F0474" w:rsidP="00047AAB">
    <w:pPr>
      <w:pStyle w:val="AHPRASubheadinglevel3"/>
      <w:spacing w:after="0"/>
      <w:jc w:val="right"/>
      <w:rPr>
        <w:i w:val="0"/>
        <w:sz w:val="18"/>
      </w:rPr>
    </w:pPr>
    <w:r w:rsidRPr="000E42EA">
      <w:rPr>
        <w:sz w:val="18"/>
      </w:rPr>
      <w:fldChar w:fldCharType="begin"/>
    </w:r>
    <w:r w:rsidRPr="000E42EA">
      <w:rPr>
        <w:sz w:val="18"/>
      </w:rPr>
      <w:instrText xml:space="preserve"> PAGE </w:instrText>
    </w:r>
    <w:r w:rsidRPr="000E42EA">
      <w:rPr>
        <w:sz w:val="18"/>
      </w:rPr>
      <w:fldChar w:fldCharType="separate"/>
    </w:r>
    <w:r w:rsidR="00817593">
      <w:rPr>
        <w:noProof/>
        <w:sz w:val="18"/>
      </w:rPr>
      <w:t>1</w:t>
    </w:r>
    <w:r w:rsidRPr="000E42EA">
      <w:rPr>
        <w:sz w:val="18"/>
      </w:rPr>
      <w:fldChar w:fldCharType="end"/>
    </w:r>
    <w:r w:rsidRPr="000E42EA">
      <w:rPr>
        <w:sz w:val="18"/>
      </w:rPr>
      <w:t xml:space="preserve"> of </w:t>
    </w:r>
    <w:r w:rsidRPr="000E42EA">
      <w:rPr>
        <w:sz w:val="18"/>
      </w:rPr>
      <w:fldChar w:fldCharType="begin"/>
    </w:r>
    <w:r w:rsidRPr="000E42EA">
      <w:rPr>
        <w:sz w:val="18"/>
      </w:rPr>
      <w:instrText xml:space="preserve"> NUMPAGES  </w:instrText>
    </w:r>
    <w:r w:rsidRPr="000E42EA">
      <w:rPr>
        <w:sz w:val="18"/>
      </w:rPr>
      <w:fldChar w:fldCharType="separate"/>
    </w:r>
    <w:r w:rsidR="00817593">
      <w:rPr>
        <w:noProof/>
        <w:sz w:val="18"/>
      </w:rPr>
      <w:t>44</w:t>
    </w:r>
    <w:r w:rsidRPr="000E42EA">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474" w:rsidRDefault="002F0474" w:rsidP="00FC2881">
      <w:pPr>
        <w:spacing w:after="0"/>
      </w:pPr>
      <w:r>
        <w:separator/>
      </w:r>
    </w:p>
  </w:footnote>
  <w:footnote w:type="continuationSeparator" w:id="0">
    <w:p w:rsidR="002F0474" w:rsidRDefault="002F0474" w:rsidP="00FC2881">
      <w:pPr>
        <w:spacing w:after="0"/>
      </w:pPr>
      <w:r>
        <w:continuationSeparator/>
      </w:r>
    </w:p>
  </w:footnote>
  <w:footnote w:id="1">
    <w:p w:rsidR="002F0474" w:rsidRPr="00887BD2" w:rsidRDefault="002F0474" w:rsidP="00E10391">
      <w:pPr>
        <w:pStyle w:val="FootnoteText"/>
        <w:rPr>
          <w:rFonts w:ascii="Arial" w:hAnsi="Arial" w:cs="Arial"/>
          <w:sz w:val="14"/>
          <w:lang w:val="en-AU"/>
        </w:rPr>
      </w:pPr>
      <w:r w:rsidRPr="00887BD2">
        <w:rPr>
          <w:rStyle w:val="FootnoteReference"/>
          <w:rFonts w:ascii="Arial" w:hAnsi="Arial" w:cs="Arial"/>
        </w:rPr>
        <w:footnoteRef/>
      </w:r>
      <w:r w:rsidRPr="00887BD2">
        <w:rPr>
          <w:rFonts w:ascii="Arial" w:hAnsi="Arial" w:cs="Arial"/>
        </w:rPr>
        <w:t xml:space="preserve"> </w:t>
      </w:r>
      <w:r w:rsidRPr="00911A1E">
        <w:rPr>
          <w:rFonts w:ascii="Arial" w:hAnsi="Arial" w:cs="Arial"/>
          <w:sz w:val="14"/>
          <w:szCs w:val="14"/>
        </w:rPr>
        <w:t xml:space="preserve">Pharmaceutical Society of Australia 2010, </w:t>
      </w:r>
      <w:r w:rsidRPr="00911A1E">
        <w:rPr>
          <w:rFonts w:ascii="Arial" w:hAnsi="Arial" w:cs="Arial"/>
          <w:i/>
          <w:sz w:val="14"/>
          <w:szCs w:val="14"/>
        </w:rPr>
        <w:t xml:space="preserve">Competency standards, </w:t>
      </w:r>
      <w:r w:rsidRPr="00911A1E">
        <w:rPr>
          <w:rFonts w:ascii="Arial" w:hAnsi="Arial" w:cs="Arial"/>
          <w:sz w:val="14"/>
          <w:szCs w:val="14"/>
        </w:rPr>
        <w:t>Pharmaceutical Society of Australia, viewed 20 January 2015, www.psa.org.au/supporting-practice/national-competency-standards</w:t>
      </w:r>
    </w:p>
  </w:footnote>
  <w:footnote w:id="2">
    <w:p w:rsidR="002F0474" w:rsidRPr="0085439C" w:rsidRDefault="002F0474" w:rsidP="00E10391">
      <w:pPr>
        <w:pStyle w:val="FootnoteText"/>
        <w:rPr>
          <w:rFonts w:ascii="Arial" w:hAnsi="Arial" w:cs="Arial"/>
        </w:rPr>
      </w:pPr>
      <w:r w:rsidRPr="0085439C">
        <w:rPr>
          <w:rStyle w:val="FootnoteReference"/>
          <w:rFonts w:ascii="Arial" w:hAnsi="Arial" w:cs="Arial"/>
        </w:rPr>
        <w:footnoteRef/>
      </w:r>
      <w:r w:rsidRPr="0085439C">
        <w:rPr>
          <w:rFonts w:ascii="Arial" w:hAnsi="Arial" w:cs="Arial"/>
        </w:rPr>
        <w:t xml:space="preserve"> </w:t>
      </w:r>
      <w:r w:rsidRPr="00887BD2">
        <w:rPr>
          <w:rFonts w:ascii="Arial" w:hAnsi="Arial" w:cs="Arial"/>
          <w:sz w:val="14"/>
        </w:rPr>
        <w:t>In this document the term ‘consumer’ refers to any individual provided with a complex compounded product for either human or veterinary use.</w:t>
      </w:r>
    </w:p>
  </w:footnote>
  <w:footnote w:id="3">
    <w:p w:rsidR="002F0474" w:rsidRPr="00111C8B" w:rsidRDefault="002F0474" w:rsidP="00E10391">
      <w:pPr>
        <w:pStyle w:val="FootnoteText"/>
        <w:rPr>
          <w:rFonts w:ascii="Arial" w:hAnsi="Arial" w:cs="Arial"/>
        </w:rPr>
      </w:pPr>
      <w:r w:rsidRPr="00111C8B">
        <w:rPr>
          <w:rStyle w:val="FootnoteReference"/>
          <w:rFonts w:ascii="Arial" w:hAnsi="Arial" w:cs="Arial"/>
        </w:rPr>
        <w:footnoteRef/>
      </w:r>
      <w:r w:rsidRPr="00111C8B">
        <w:rPr>
          <w:rFonts w:ascii="Arial" w:hAnsi="Arial" w:cs="Arial"/>
        </w:rPr>
        <w:t xml:space="preserve"> </w:t>
      </w:r>
      <w:r w:rsidRPr="00111C8B">
        <w:rPr>
          <w:rFonts w:ascii="Arial" w:hAnsi="Arial" w:cs="Arial"/>
          <w:sz w:val="14"/>
          <w:szCs w:val="18"/>
        </w:rPr>
        <w:t>Within the expanded profile the convention of shading entry-level/simple compounding requirements has been maintained. However, while the performance criteria are unchanged, the evidence examples may have been customised for complex compounding.</w:t>
      </w:r>
    </w:p>
  </w:footnote>
  <w:footnote w:id="4">
    <w:p w:rsidR="002F0474" w:rsidRPr="00F559B5" w:rsidRDefault="002F0474" w:rsidP="00E10391">
      <w:pPr>
        <w:pStyle w:val="Header"/>
        <w:ind w:left="284"/>
        <w:rPr>
          <w:rFonts w:ascii="Arial" w:hAnsi="Arial" w:cs="Arial"/>
          <w:sz w:val="18"/>
          <w:szCs w:val="18"/>
        </w:rPr>
      </w:pPr>
      <w:r>
        <w:rPr>
          <w:rStyle w:val="FootnoteReference"/>
        </w:rPr>
        <w:footnoteRef/>
      </w:r>
      <w:r>
        <w:t xml:space="preserve"> </w:t>
      </w:r>
      <w:r w:rsidRPr="00F559B5">
        <w:rPr>
          <w:rFonts w:ascii="Arial" w:hAnsi="Arial" w:cs="Arial"/>
          <w:sz w:val="18"/>
          <w:szCs w:val="18"/>
        </w:rPr>
        <w:t>Legislation referred to in this Standard includes the latest editions and amendments of:</w:t>
      </w:r>
    </w:p>
    <w:p w:rsidR="002F0474" w:rsidRPr="00F559B5" w:rsidRDefault="002F0474" w:rsidP="00E10391">
      <w:pPr>
        <w:pStyle w:val="Header"/>
        <w:numPr>
          <w:ilvl w:val="0"/>
          <w:numId w:val="20"/>
        </w:numPr>
        <w:tabs>
          <w:tab w:val="clear" w:pos="360"/>
          <w:tab w:val="clear" w:pos="4513"/>
          <w:tab w:val="clear" w:pos="9026"/>
          <w:tab w:val="left" w:pos="680"/>
        </w:tabs>
        <w:spacing w:after="0"/>
        <w:ind w:left="568" w:hanging="284"/>
        <w:rPr>
          <w:rFonts w:ascii="Arial" w:hAnsi="Arial" w:cs="Arial"/>
          <w:i/>
          <w:sz w:val="18"/>
          <w:szCs w:val="18"/>
        </w:rPr>
      </w:pPr>
      <w:r w:rsidRPr="00F559B5">
        <w:rPr>
          <w:rFonts w:ascii="Arial" w:hAnsi="Arial" w:cs="Arial"/>
          <w:i/>
          <w:sz w:val="18"/>
          <w:szCs w:val="18"/>
        </w:rPr>
        <w:t>Health Practitioner Regulation National Law Act 2009</w:t>
      </w:r>
      <w:r>
        <w:rPr>
          <w:rFonts w:ascii="Arial" w:hAnsi="Arial" w:cs="Arial"/>
          <w:i/>
          <w:sz w:val="18"/>
          <w:szCs w:val="18"/>
        </w:rPr>
        <w:t>.</w:t>
      </w:r>
    </w:p>
    <w:p w:rsidR="002F0474" w:rsidRPr="00F559B5" w:rsidRDefault="002F0474" w:rsidP="00E10391">
      <w:pPr>
        <w:pStyle w:val="Header"/>
        <w:numPr>
          <w:ilvl w:val="0"/>
          <w:numId w:val="20"/>
        </w:numPr>
        <w:tabs>
          <w:tab w:val="clear" w:pos="360"/>
          <w:tab w:val="clear" w:pos="4513"/>
          <w:tab w:val="clear" w:pos="9026"/>
          <w:tab w:val="left" w:pos="680"/>
        </w:tabs>
        <w:spacing w:after="0"/>
        <w:ind w:left="568" w:hanging="284"/>
        <w:rPr>
          <w:rFonts w:ascii="Arial" w:hAnsi="Arial" w:cs="Arial"/>
          <w:sz w:val="18"/>
          <w:szCs w:val="18"/>
        </w:rPr>
      </w:pPr>
      <w:r w:rsidRPr="00F559B5">
        <w:rPr>
          <w:rFonts w:ascii="Arial" w:hAnsi="Arial" w:cs="Arial"/>
          <w:sz w:val="18"/>
          <w:szCs w:val="18"/>
        </w:rPr>
        <w:t>State/</w:t>
      </w:r>
      <w:r>
        <w:rPr>
          <w:rFonts w:ascii="Arial" w:hAnsi="Arial" w:cs="Arial"/>
          <w:sz w:val="18"/>
          <w:szCs w:val="18"/>
        </w:rPr>
        <w:t>t</w:t>
      </w:r>
      <w:r w:rsidRPr="00F559B5">
        <w:rPr>
          <w:rFonts w:ascii="Arial" w:hAnsi="Arial" w:cs="Arial"/>
          <w:sz w:val="18"/>
          <w:szCs w:val="18"/>
        </w:rPr>
        <w:t xml:space="preserve">erritory legislation controlling the </w:t>
      </w:r>
      <w:r>
        <w:rPr>
          <w:rFonts w:ascii="Arial" w:hAnsi="Arial" w:cs="Arial"/>
          <w:sz w:val="18"/>
          <w:szCs w:val="18"/>
        </w:rPr>
        <w:t>ownership and approval of pharmacies.</w:t>
      </w:r>
    </w:p>
    <w:p w:rsidR="002F0474" w:rsidRPr="00F559B5" w:rsidRDefault="002F0474" w:rsidP="00E10391">
      <w:pPr>
        <w:pStyle w:val="Header"/>
        <w:numPr>
          <w:ilvl w:val="0"/>
          <w:numId w:val="21"/>
        </w:numPr>
        <w:tabs>
          <w:tab w:val="clear" w:pos="360"/>
          <w:tab w:val="clear" w:pos="4513"/>
          <w:tab w:val="clear" w:pos="9026"/>
          <w:tab w:val="left" w:pos="680"/>
        </w:tabs>
        <w:spacing w:after="0"/>
        <w:ind w:left="568" w:hanging="284"/>
        <w:rPr>
          <w:rFonts w:ascii="Arial" w:hAnsi="Arial" w:cs="Arial"/>
          <w:sz w:val="18"/>
          <w:szCs w:val="18"/>
        </w:rPr>
      </w:pPr>
      <w:r w:rsidRPr="00F559B5">
        <w:rPr>
          <w:rFonts w:ascii="Arial" w:hAnsi="Arial" w:cs="Arial"/>
          <w:sz w:val="18"/>
          <w:szCs w:val="18"/>
        </w:rPr>
        <w:t>State/</w:t>
      </w:r>
      <w:r>
        <w:rPr>
          <w:rFonts w:ascii="Arial" w:hAnsi="Arial" w:cs="Arial"/>
          <w:sz w:val="18"/>
          <w:szCs w:val="18"/>
        </w:rPr>
        <w:t>t</w:t>
      </w:r>
      <w:r w:rsidRPr="00F559B5">
        <w:rPr>
          <w:rFonts w:ascii="Arial" w:hAnsi="Arial" w:cs="Arial"/>
          <w:sz w:val="18"/>
          <w:szCs w:val="18"/>
        </w:rPr>
        <w:t>erritory legislation controlling medicines, drugs, poisons and controlled substances</w:t>
      </w:r>
      <w:r>
        <w:rPr>
          <w:rFonts w:ascii="Arial" w:hAnsi="Arial" w:cs="Arial"/>
          <w:sz w:val="18"/>
          <w:szCs w:val="18"/>
        </w:rPr>
        <w:t>.</w:t>
      </w:r>
    </w:p>
    <w:p w:rsidR="002F0474" w:rsidRPr="00F559B5" w:rsidRDefault="002F0474" w:rsidP="00E10391">
      <w:pPr>
        <w:pStyle w:val="Header"/>
        <w:numPr>
          <w:ilvl w:val="0"/>
          <w:numId w:val="22"/>
        </w:numPr>
        <w:tabs>
          <w:tab w:val="clear" w:pos="360"/>
          <w:tab w:val="clear" w:pos="4513"/>
          <w:tab w:val="clear" w:pos="9026"/>
          <w:tab w:val="left" w:pos="680"/>
        </w:tabs>
        <w:spacing w:after="0"/>
        <w:ind w:left="568" w:hanging="284"/>
        <w:rPr>
          <w:rFonts w:ascii="Arial" w:hAnsi="Arial" w:cs="Arial"/>
          <w:i/>
          <w:sz w:val="18"/>
          <w:szCs w:val="18"/>
        </w:rPr>
      </w:pPr>
      <w:r w:rsidRPr="00F559B5">
        <w:rPr>
          <w:rFonts w:ascii="Arial" w:hAnsi="Arial" w:cs="Arial"/>
          <w:i/>
          <w:sz w:val="18"/>
          <w:szCs w:val="18"/>
        </w:rPr>
        <w:t>National Health Act 1953</w:t>
      </w:r>
      <w:r>
        <w:rPr>
          <w:rFonts w:ascii="Arial" w:hAnsi="Arial" w:cs="Arial"/>
          <w:i/>
          <w:sz w:val="18"/>
          <w:szCs w:val="18"/>
        </w:rPr>
        <w:t>.</w:t>
      </w:r>
    </w:p>
    <w:p w:rsidR="002F0474" w:rsidRPr="00F559B5" w:rsidRDefault="002F0474" w:rsidP="00E10391">
      <w:pPr>
        <w:pStyle w:val="Header"/>
        <w:numPr>
          <w:ilvl w:val="0"/>
          <w:numId w:val="23"/>
        </w:numPr>
        <w:tabs>
          <w:tab w:val="clear" w:pos="360"/>
          <w:tab w:val="clear" w:pos="4513"/>
          <w:tab w:val="clear" w:pos="9026"/>
          <w:tab w:val="left" w:pos="680"/>
        </w:tabs>
        <w:spacing w:after="0"/>
        <w:ind w:left="568" w:hanging="284"/>
        <w:rPr>
          <w:rFonts w:ascii="Arial" w:hAnsi="Arial" w:cs="Arial"/>
          <w:sz w:val="18"/>
          <w:szCs w:val="18"/>
        </w:rPr>
      </w:pPr>
      <w:r w:rsidRPr="00F559B5">
        <w:rPr>
          <w:rFonts w:ascii="Arial" w:hAnsi="Arial" w:cs="Arial"/>
          <w:sz w:val="18"/>
          <w:szCs w:val="18"/>
        </w:rPr>
        <w:t xml:space="preserve">The </w:t>
      </w:r>
      <w:r w:rsidRPr="0013501E">
        <w:rPr>
          <w:rFonts w:ascii="Arial" w:hAnsi="Arial" w:cs="Arial"/>
          <w:sz w:val="18"/>
          <w:szCs w:val="18"/>
        </w:rPr>
        <w:t>Commonwealth Privacy Act</w:t>
      </w:r>
      <w:r w:rsidRPr="00F559B5">
        <w:rPr>
          <w:rFonts w:ascii="Arial" w:hAnsi="Arial" w:cs="Arial"/>
          <w:sz w:val="18"/>
          <w:szCs w:val="18"/>
        </w:rPr>
        <w:t xml:space="preserve"> and relevant </w:t>
      </w:r>
      <w:r>
        <w:rPr>
          <w:rFonts w:ascii="Arial" w:hAnsi="Arial" w:cs="Arial"/>
          <w:sz w:val="18"/>
          <w:szCs w:val="18"/>
        </w:rPr>
        <w:t>s</w:t>
      </w:r>
      <w:r w:rsidRPr="00F559B5">
        <w:rPr>
          <w:rFonts w:ascii="Arial" w:hAnsi="Arial" w:cs="Arial"/>
          <w:sz w:val="18"/>
          <w:szCs w:val="18"/>
        </w:rPr>
        <w:t>tate/</w:t>
      </w:r>
      <w:r>
        <w:rPr>
          <w:rFonts w:ascii="Arial" w:hAnsi="Arial" w:cs="Arial"/>
          <w:sz w:val="18"/>
          <w:szCs w:val="18"/>
        </w:rPr>
        <w:t>t</w:t>
      </w:r>
      <w:r w:rsidRPr="00F559B5">
        <w:rPr>
          <w:rFonts w:ascii="Arial" w:hAnsi="Arial" w:cs="Arial"/>
          <w:sz w:val="18"/>
          <w:szCs w:val="18"/>
        </w:rPr>
        <w:t>erritory privacy legislation</w:t>
      </w:r>
      <w:r>
        <w:rPr>
          <w:rFonts w:ascii="Arial" w:hAnsi="Arial" w:cs="Arial"/>
          <w:sz w:val="18"/>
          <w:szCs w:val="18"/>
        </w:rPr>
        <w:t>.</w:t>
      </w:r>
    </w:p>
    <w:p w:rsidR="002F0474" w:rsidRPr="00F559B5" w:rsidRDefault="002F0474" w:rsidP="00E10391">
      <w:pPr>
        <w:pStyle w:val="Header"/>
        <w:numPr>
          <w:ilvl w:val="0"/>
          <w:numId w:val="23"/>
        </w:numPr>
        <w:tabs>
          <w:tab w:val="clear" w:pos="360"/>
          <w:tab w:val="clear" w:pos="4513"/>
          <w:tab w:val="clear" w:pos="9026"/>
          <w:tab w:val="left" w:pos="680"/>
        </w:tabs>
        <w:spacing w:after="0"/>
        <w:ind w:left="568" w:hanging="284"/>
        <w:rPr>
          <w:rFonts w:ascii="Arial" w:hAnsi="Arial" w:cs="Arial"/>
          <w:sz w:val="18"/>
          <w:szCs w:val="18"/>
        </w:rPr>
      </w:pPr>
      <w:r w:rsidRPr="00F559B5">
        <w:rPr>
          <w:rFonts w:ascii="Arial" w:hAnsi="Arial" w:cs="Arial"/>
          <w:sz w:val="18"/>
          <w:szCs w:val="18"/>
        </w:rPr>
        <w:t xml:space="preserve">The Commonwealth </w:t>
      </w:r>
      <w:r w:rsidRPr="0013501E">
        <w:rPr>
          <w:rFonts w:ascii="Arial" w:hAnsi="Arial" w:cs="Arial"/>
          <w:sz w:val="18"/>
          <w:szCs w:val="18"/>
        </w:rPr>
        <w:t xml:space="preserve">Therapeutic Goods Act </w:t>
      </w:r>
      <w:r w:rsidRPr="00F559B5">
        <w:rPr>
          <w:rFonts w:ascii="Arial" w:hAnsi="Arial" w:cs="Arial"/>
          <w:sz w:val="18"/>
          <w:szCs w:val="18"/>
        </w:rPr>
        <w:t>and Regulations</w:t>
      </w:r>
      <w:r>
        <w:rPr>
          <w:rFonts w:ascii="Arial" w:hAnsi="Arial" w:cs="Arial"/>
          <w:sz w:val="18"/>
          <w:szCs w:val="18"/>
        </w:rPr>
        <w:t>.</w:t>
      </w:r>
    </w:p>
    <w:p w:rsidR="002F0474" w:rsidRPr="00F559B5" w:rsidRDefault="002F0474" w:rsidP="00E10391">
      <w:pPr>
        <w:pStyle w:val="Header"/>
        <w:numPr>
          <w:ilvl w:val="0"/>
          <w:numId w:val="23"/>
        </w:numPr>
        <w:tabs>
          <w:tab w:val="clear" w:pos="360"/>
          <w:tab w:val="clear" w:pos="4513"/>
          <w:tab w:val="clear" w:pos="9026"/>
          <w:tab w:val="left" w:pos="680"/>
        </w:tabs>
        <w:spacing w:after="0"/>
        <w:ind w:left="568" w:hanging="284"/>
        <w:rPr>
          <w:rFonts w:ascii="Arial" w:hAnsi="Arial" w:cs="Arial"/>
          <w:sz w:val="18"/>
          <w:szCs w:val="18"/>
        </w:rPr>
      </w:pPr>
      <w:r w:rsidRPr="00F559B5">
        <w:rPr>
          <w:rFonts w:ascii="Arial" w:hAnsi="Arial" w:cs="Arial"/>
          <w:sz w:val="18"/>
          <w:szCs w:val="18"/>
        </w:rPr>
        <w:t xml:space="preserve">Commonwealth and </w:t>
      </w:r>
      <w:r>
        <w:rPr>
          <w:rFonts w:ascii="Arial" w:hAnsi="Arial" w:cs="Arial"/>
          <w:sz w:val="18"/>
          <w:szCs w:val="18"/>
        </w:rPr>
        <w:t>s</w:t>
      </w:r>
      <w:r w:rsidRPr="00F559B5">
        <w:rPr>
          <w:rFonts w:ascii="Arial" w:hAnsi="Arial" w:cs="Arial"/>
          <w:sz w:val="18"/>
          <w:szCs w:val="18"/>
        </w:rPr>
        <w:t>tate/</w:t>
      </w:r>
      <w:r>
        <w:rPr>
          <w:rFonts w:ascii="Arial" w:hAnsi="Arial" w:cs="Arial"/>
          <w:sz w:val="18"/>
          <w:szCs w:val="18"/>
        </w:rPr>
        <w:t>t</w:t>
      </w:r>
      <w:r w:rsidRPr="00F559B5">
        <w:rPr>
          <w:rFonts w:ascii="Arial" w:hAnsi="Arial" w:cs="Arial"/>
          <w:sz w:val="18"/>
          <w:szCs w:val="18"/>
        </w:rPr>
        <w:t>erritory legislation controlling health care</w:t>
      </w:r>
      <w:r>
        <w:rPr>
          <w:rFonts w:ascii="Arial" w:hAnsi="Arial" w:cs="Arial"/>
          <w:sz w:val="18"/>
          <w:szCs w:val="18"/>
        </w:rPr>
        <w:t>.</w:t>
      </w:r>
    </w:p>
    <w:p w:rsidR="002F0474" w:rsidRDefault="002F0474" w:rsidP="00E10391">
      <w:pPr>
        <w:pStyle w:val="Header"/>
        <w:numPr>
          <w:ilvl w:val="0"/>
          <w:numId w:val="23"/>
        </w:numPr>
        <w:tabs>
          <w:tab w:val="clear" w:pos="360"/>
          <w:tab w:val="clear" w:pos="4513"/>
          <w:tab w:val="clear" w:pos="9026"/>
          <w:tab w:val="left" w:pos="680"/>
        </w:tabs>
        <w:spacing w:after="0"/>
        <w:ind w:left="568" w:hanging="284"/>
        <w:rPr>
          <w:rFonts w:ascii="Arial" w:hAnsi="Arial" w:cs="Arial"/>
          <w:sz w:val="18"/>
          <w:szCs w:val="18"/>
        </w:rPr>
      </w:pPr>
      <w:r w:rsidRPr="00F559B5">
        <w:rPr>
          <w:rFonts w:ascii="Arial" w:hAnsi="Arial" w:cs="Arial"/>
          <w:sz w:val="18"/>
          <w:szCs w:val="18"/>
        </w:rPr>
        <w:t>Disability and equal opportunity legislation</w:t>
      </w:r>
      <w:r>
        <w:rPr>
          <w:rFonts w:ascii="Arial" w:hAnsi="Arial" w:cs="Arial"/>
          <w:sz w:val="18"/>
          <w:szCs w:val="18"/>
        </w:rPr>
        <w:t>.</w:t>
      </w:r>
    </w:p>
    <w:p w:rsidR="002F0474" w:rsidRDefault="002F0474" w:rsidP="00E10391">
      <w:pPr>
        <w:pStyle w:val="Header"/>
        <w:numPr>
          <w:ilvl w:val="0"/>
          <w:numId w:val="23"/>
        </w:numPr>
        <w:tabs>
          <w:tab w:val="clear" w:pos="360"/>
          <w:tab w:val="clear" w:pos="4513"/>
          <w:tab w:val="clear" w:pos="9026"/>
          <w:tab w:val="left" w:pos="680"/>
        </w:tabs>
        <w:spacing w:after="0"/>
        <w:ind w:left="568" w:hanging="284"/>
        <w:rPr>
          <w:rFonts w:ascii="Arial" w:hAnsi="Arial" w:cs="Arial"/>
          <w:sz w:val="18"/>
          <w:szCs w:val="18"/>
        </w:rPr>
      </w:pPr>
      <w:r>
        <w:rPr>
          <w:rFonts w:ascii="Arial" w:hAnsi="Arial" w:cs="Arial"/>
          <w:sz w:val="18"/>
          <w:szCs w:val="18"/>
        </w:rPr>
        <w:t>Relevant sections of Occupational Health and Trade Practices legislation.</w:t>
      </w:r>
    </w:p>
    <w:p w:rsidR="002F0474" w:rsidRDefault="002F0474" w:rsidP="00E10391">
      <w:pPr>
        <w:pStyle w:val="Header"/>
        <w:numPr>
          <w:ilvl w:val="0"/>
          <w:numId w:val="23"/>
        </w:numPr>
        <w:tabs>
          <w:tab w:val="clear" w:pos="360"/>
          <w:tab w:val="clear" w:pos="4513"/>
          <w:tab w:val="clear" w:pos="9026"/>
          <w:tab w:val="left" w:pos="680"/>
        </w:tabs>
        <w:spacing w:after="0"/>
        <w:ind w:left="568" w:hanging="284"/>
        <w:rPr>
          <w:rFonts w:ascii="Arial" w:hAnsi="Arial" w:cs="Arial"/>
          <w:sz w:val="18"/>
          <w:szCs w:val="18"/>
        </w:rPr>
      </w:pPr>
      <w:r w:rsidRPr="0013501E">
        <w:rPr>
          <w:rFonts w:ascii="Arial" w:hAnsi="Arial" w:cs="Arial"/>
          <w:sz w:val="18"/>
          <w:szCs w:val="18"/>
        </w:rPr>
        <w:t>Agricultural and Veterinary Chemicals Code Act 1994</w:t>
      </w:r>
      <w:r>
        <w:rPr>
          <w:rFonts w:ascii="Arial" w:hAnsi="Arial" w:cs="Arial"/>
          <w:sz w:val="18"/>
          <w:szCs w:val="18"/>
        </w:rPr>
        <w:t>.</w:t>
      </w:r>
    </w:p>
    <w:p w:rsidR="002F0474" w:rsidRDefault="002F0474" w:rsidP="00E10391">
      <w:pPr>
        <w:pStyle w:val="FootnoteText"/>
      </w:pPr>
    </w:p>
  </w:footnote>
  <w:footnote w:id="5">
    <w:p w:rsidR="002F0474" w:rsidRPr="00111C8B" w:rsidRDefault="002F0474" w:rsidP="00E10391">
      <w:pPr>
        <w:pStyle w:val="FootnoteText"/>
        <w:rPr>
          <w:rFonts w:ascii="Arial" w:hAnsi="Arial" w:cs="Arial"/>
          <w:sz w:val="14"/>
        </w:rPr>
      </w:pPr>
      <w:r w:rsidRPr="00111C8B">
        <w:rPr>
          <w:rStyle w:val="FootnoteReference"/>
          <w:rFonts w:ascii="Arial" w:hAnsi="Arial" w:cs="Arial"/>
        </w:rPr>
        <w:footnoteRef/>
      </w:r>
      <w:r w:rsidRPr="00111C8B">
        <w:rPr>
          <w:rFonts w:ascii="Arial" w:hAnsi="Arial" w:cs="Arial"/>
        </w:rPr>
        <w:t xml:space="preserve"> </w:t>
      </w:r>
      <w:r w:rsidRPr="00111C8B">
        <w:rPr>
          <w:rFonts w:ascii="Arial" w:hAnsi="Arial" w:cs="Arial"/>
          <w:sz w:val="14"/>
        </w:rPr>
        <w:t>In this Domain it is assumed a complex compounded product would be recommended and any adjustments to use or formulation made in the context of a medication history, initial assessment of primary health care needs and ongoing medication management. It is therefore also assumed that the pharmacist will be able to satisfy competencies for obtaining a medication history, recommending treatments and advising ways in which the treatment regimen, including the compounded product and non-medicinal treatments, should be adjusted to achieve desired health outcomes. Elements and performance criteria relating to delivery of direct care in acute or emergency situations have been excluded.</w:t>
      </w:r>
    </w:p>
    <w:p w:rsidR="002F0474" w:rsidRDefault="002F0474" w:rsidP="00E1039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7FB9"/>
    <w:multiLevelType w:val="hybridMultilevel"/>
    <w:tmpl w:val="4092A45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nsid w:val="0A53486A"/>
    <w:multiLevelType w:val="hybridMultilevel"/>
    <w:tmpl w:val="9CE4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nsid w:val="0C037DB3"/>
    <w:multiLevelType w:val="multilevel"/>
    <w:tmpl w:val="BE20683A"/>
    <w:numStyleLink w:val="AHPRANumberedheadinglist"/>
  </w:abstractNum>
  <w:abstractNum w:abstractNumId="4">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nsid w:val="0C985FC8"/>
    <w:multiLevelType w:val="hybridMultilevel"/>
    <w:tmpl w:val="88909B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1C013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21F02C81"/>
    <w:multiLevelType w:val="hybridMultilevel"/>
    <w:tmpl w:val="FEBE8B72"/>
    <w:lvl w:ilvl="0" w:tplc="3C166F4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593E6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2F727341"/>
    <w:multiLevelType w:val="hybridMultilevel"/>
    <w:tmpl w:val="194A82C4"/>
    <w:lvl w:ilvl="0" w:tplc="33E660A8">
      <w:start w:val="1"/>
      <w:numFmt w:val="decimal"/>
      <w:pStyle w:val="AHPRAnumberedbulletpoin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C065C2"/>
    <w:multiLevelType w:val="hybridMultilevel"/>
    <w:tmpl w:val="42C6061A"/>
    <w:lvl w:ilvl="0" w:tplc="676C3670">
      <w:start w:val="1"/>
      <w:numFmt w:val="decimal"/>
      <w:pStyle w:val="AHPRAnumberedsubheadinglevel1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08412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3A9A65BC"/>
    <w:multiLevelType w:val="hybridMultilevel"/>
    <w:tmpl w:val="4EBA9C82"/>
    <w:lvl w:ilvl="0" w:tplc="30E07B36">
      <w:start w:val="1"/>
      <w:numFmt w:val="bullet"/>
      <w:pStyle w:val="AHPRABulletlevel1last"/>
      <w:lvlText w:val="–"/>
      <w:lvlJc w:val="left"/>
      <w:pPr>
        <w:tabs>
          <w:tab w:val="num" w:pos="360"/>
        </w:tabs>
        <w:ind w:left="360" w:hanging="360"/>
      </w:pPr>
      <w:rPr>
        <w:rFonts w:ascii="Arial" w:hAnsi="Aria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nsid w:val="4068181D"/>
    <w:multiLevelType w:val="hybridMultilevel"/>
    <w:tmpl w:val="89145216"/>
    <w:lvl w:ilvl="0" w:tplc="FFFFFFFF">
      <w:start w:val="1"/>
      <w:numFmt w:val="bullet"/>
      <w:lvlText w:val=""/>
      <w:lvlJc w:val="left"/>
      <w:pPr>
        <w:tabs>
          <w:tab w:val="num" w:pos="0"/>
        </w:tabs>
        <w:ind w:left="283" w:hanging="283"/>
      </w:pPr>
      <w:rPr>
        <w:rFonts w:ascii="Symbol" w:hAnsi="Symbol" w:hint="default"/>
      </w:rPr>
    </w:lvl>
    <w:lvl w:ilvl="1" w:tplc="FFFFFFFF">
      <w:start w:val="1"/>
      <w:numFmt w:val="bullet"/>
      <w:lvlText w:val=""/>
      <w:lvlJc w:val="left"/>
      <w:pPr>
        <w:tabs>
          <w:tab w:val="num" w:pos="1476"/>
        </w:tabs>
        <w:ind w:left="1476" w:hanging="396"/>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442733"/>
    <w:multiLevelType w:val="hybridMultilevel"/>
    <w:tmpl w:val="1938C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E037E09"/>
    <w:multiLevelType w:val="hybridMultilevel"/>
    <w:tmpl w:val="D018DFE4"/>
    <w:lvl w:ilvl="0" w:tplc="0409000F">
      <w:start w:val="1"/>
      <w:numFmt w:val="decimal"/>
      <w:pStyle w:val="AHPRABulletlevel3la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AD19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EF3093D"/>
    <w:multiLevelType w:val="hybridMultilevel"/>
    <w:tmpl w:val="184C61B4"/>
    <w:lvl w:ilvl="0" w:tplc="FFFFFFFF">
      <w:start w:val="1"/>
      <w:numFmt w:val="bullet"/>
      <w:pStyle w:val="ROV1"/>
      <w:lvlText w:val=""/>
      <w:lvlJc w:val="left"/>
      <w:pPr>
        <w:tabs>
          <w:tab w:val="num" w:pos="680"/>
        </w:tabs>
        <w:ind w:left="680" w:hanging="396"/>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0">
    <w:nsid w:val="5F686FE8"/>
    <w:multiLevelType w:val="singleLevel"/>
    <w:tmpl w:val="084A429C"/>
    <w:lvl w:ilvl="0">
      <w:start w:val="1"/>
      <w:numFmt w:val="bullet"/>
      <w:pStyle w:val="AIKLbulletslevel1"/>
      <w:lvlText w:val=""/>
      <w:lvlJc w:val="left"/>
      <w:pPr>
        <w:tabs>
          <w:tab w:val="num" w:pos="360"/>
        </w:tabs>
        <w:ind w:left="360" w:hanging="360"/>
      </w:pPr>
      <w:rPr>
        <w:rFonts w:ascii="Symbol" w:hAnsi="Symbol" w:hint="default"/>
      </w:rPr>
    </w:lvl>
  </w:abstractNum>
  <w:abstractNum w:abstractNumId="21">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22">
    <w:nsid w:val="6ACC55E0"/>
    <w:multiLevelType w:val="hybridMultilevel"/>
    <w:tmpl w:val="5AB42B54"/>
    <w:lvl w:ilvl="0" w:tplc="C4D81B3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C731660"/>
    <w:multiLevelType w:val="multilevel"/>
    <w:tmpl w:val="C4183F12"/>
    <w:numStyleLink w:val="AHPRANumberedlist"/>
  </w:abstractNum>
  <w:abstractNum w:abstractNumId="24">
    <w:nsid w:val="7ED452D4"/>
    <w:multiLevelType w:val="singleLevel"/>
    <w:tmpl w:val="4C1C2294"/>
    <w:lvl w:ilvl="0">
      <w:start w:val="1"/>
      <w:numFmt w:val="bullet"/>
      <w:pStyle w:val="BodyText-roundbullets"/>
      <w:lvlText w:val=""/>
      <w:lvlJc w:val="left"/>
      <w:pPr>
        <w:tabs>
          <w:tab w:val="num" w:pos="360"/>
        </w:tabs>
        <w:ind w:left="360" w:hanging="360"/>
      </w:pPr>
      <w:rPr>
        <w:rFonts w:ascii="Symbol" w:hAnsi="Symbol" w:hint="default"/>
      </w:rPr>
    </w:lvl>
  </w:abstractNum>
  <w:num w:numId="1">
    <w:abstractNumId w:val="16"/>
  </w:num>
  <w:num w:numId="2">
    <w:abstractNumId w:val="12"/>
  </w:num>
  <w:num w:numId="3">
    <w:abstractNumId w:val="19"/>
  </w:num>
  <w:num w:numId="4">
    <w:abstractNumId w:val="21"/>
  </w:num>
  <w:num w:numId="5">
    <w:abstractNumId w:val="7"/>
  </w:num>
  <w:num w:numId="6">
    <w:abstractNumId w:val="22"/>
  </w:num>
  <w:num w:numId="7">
    <w:abstractNumId w:val="10"/>
  </w:num>
  <w:num w:numId="8">
    <w:abstractNumId w:val="14"/>
  </w:num>
  <w:num w:numId="9">
    <w:abstractNumId w:val="9"/>
  </w:num>
  <w:num w:numId="10">
    <w:abstractNumId w:val="2"/>
  </w:num>
  <w:num w:numId="11">
    <w:abstractNumId w:val="4"/>
  </w:num>
  <w:num w:numId="12">
    <w:abstractNumId w:val="3"/>
  </w:num>
  <w:num w:numId="13">
    <w:abstractNumId w:val="23"/>
  </w:num>
  <w:num w:numId="14">
    <w:abstractNumId w:val="5"/>
  </w:num>
  <w:num w:numId="15">
    <w:abstractNumId w:val="1"/>
  </w:num>
  <w:num w:numId="16">
    <w:abstractNumId w:val="20"/>
  </w:num>
  <w:num w:numId="17">
    <w:abstractNumId w:val="24"/>
  </w:num>
  <w:num w:numId="18">
    <w:abstractNumId w:val="18"/>
  </w:num>
  <w:num w:numId="19">
    <w:abstractNumId w:val="0"/>
  </w:num>
  <w:num w:numId="20">
    <w:abstractNumId w:val="11"/>
  </w:num>
  <w:num w:numId="21">
    <w:abstractNumId w:val="8"/>
  </w:num>
  <w:num w:numId="22">
    <w:abstractNumId w:val="6"/>
  </w:num>
  <w:num w:numId="23">
    <w:abstractNumId w:val="17"/>
  </w:num>
  <w:num w:numId="24">
    <w:abstractNumId w:val="13"/>
  </w:num>
  <w:num w:numId="25">
    <w:abstractNumId w:val="15"/>
  </w:num>
  <w:num w:numId="26">
    <w:abstractNumId w:val="23"/>
  </w:num>
  <w:num w:numId="27">
    <w:abstractNumId w:val="23"/>
  </w:num>
  <w:num w:numId="28">
    <w:abstractNumId w:val="23"/>
  </w:num>
  <w:num w:numId="29">
    <w:abstractNumId w:val="23"/>
  </w:num>
  <w:num w:numId="30">
    <w:abstractNumId w:val="23"/>
  </w:num>
  <w:num w:numId="31">
    <w:abstractNumId w:val="23"/>
  </w:num>
  <w:num w:numId="32">
    <w:abstractNumId w:val="23"/>
  </w:num>
  <w:num w:numId="33">
    <w:abstractNumId w:val="23"/>
  </w:num>
  <w:num w:numId="34">
    <w:abstractNumId w:val="23"/>
  </w:num>
  <w:num w:numId="35">
    <w:abstractNumId w:val="23"/>
  </w:num>
  <w:num w:numId="36">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4C6"/>
    <w:rsid w:val="00000033"/>
    <w:rsid w:val="00006922"/>
    <w:rsid w:val="00011847"/>
    <w:rsid w:val="00012036"/>
    <w:rsid w:val="00017EEB"/>
    <w:rsid w:val="00021437"/>
    <w:rsid w:val="0002656A"/>
    <w:rsid w:val="00027349"/>
    <w:rsid w:val="000334D7"/>
    <w:rsid w:val="000435D7"/>
    <w:rsid w:val="000457DC"/>
    <w:rsid w:val="00047AAB"/>
    <w:rsid w:val="00050AD1"/>
    <w:rsid w:val="00054049"/>
    <w:rsid w:val="000641E2"/>
    <w:rsid w:val="00070CEE"/>
    <w:rsid w:val="0007349F"/>
    <w:rsid w:val="00081473"/>
    <w:rsid w:val="00083E35"/>
    <w:rsid w:val="00084247"/>
    <w:rsid w:val="000945FB"/>
    <w:rsid w:val="000A25B1"/>
    <w:rsid w:val="000A7567"/>
    <w:rsid w:val="000B019A"/>
    <w:rsid w:val="000C011C"/>
    <w:rsid w:val="000C2DD1"/>
    <w:rsid w:val="000C48F1"/>
    <w:rsid w:val="000D122B"/>
    <w:rsid w:val="000E0207"/>
    <w:rsid w:val="000E1404"/>
    <w:rsid w:val="000E2449"/>
    <w:rsid w:val="000E42EA"/>
    <w:rsid w:val="000E4EED"/>
    <w:rsid w:val="000E5929"/>
    <w:rsid w:val="000E61CF"/>
    <w:rsid w:val="000F247F"/>
    <w:rsid w:val="000F5CEF"/>
    <w:rsid w:val="0010139F"/>
    <w:rsid w:val="0010213C"/>
    <w:rsid w:val="00104F0E"/>
    <w:rsid w:val="0010761B"/>
    <w:rsid w:val="00110A14"/>
    <w:rsid w:val="00111C8B"/>
    <w:rsid w:val="001201E3"/>
    <w:rsid w:val="001207DE"/>
    <w:rsid w:val="00120CB9"/>
    <w:rsid w:val="0013501E"/>
    <w:rsid w:val="00137EAA"/>
    <w:rsid w:val="001415B8"/>
    <w:rsid w:val="00142969"/>
    <w:rsid w:val="00144834"/>
    <w:rsid w:val="00144C1A"/>
    <w:rsid w:val="00144DEF"/>
    <w:rsid w:val="001502A2"/>
    <w:rsid w:val="0015122D"/>
    <w:rsid w:val="00175A76"/>
    <w:rsid w:val="00182779"/>
    <w:rsid w:val="00186360"/>
    <w:rsid w:val="001919B4"/>
    <w:rsid w:val="001923E1"/>
    <w:rsid w:val="0019781B"/>
    <w:rsid w:val="001A5D97"/>
    <w:rsid w:val="001A5F82"/>
    <w:rsid w:val="001A6E2F"/>
    <w:rsid w:val="001A7826"/>
    <w:rsid w:val="001B031E"/>
    <w:rsid w:val="001C070C"/>
    <w:rsid w:val="001C646C"/>
    <w:rsid w:val="001C756D"/>
    <w:rsid w:val="001D026C"/>
    <w:rsid w:val="001D0C27"/>
    <w:rsid w:val="001D6979"/>
    <w:rsid w:val="001D7123"/>
    <w:rsid w:val="001E2313"/>
    <w:rsid w:val="001E2393"/>
    <w:rsid w:val="001E5B29"/>
    <w:rsid w:val="001E5FDC"/>
    <w:rsid w:val="001F4EEE"/>
    <w:rsid w:val="00206CF0"/>
    <w:rsid w:val="00210547"/>
    <w:rsid w:val="002119EF"/>
    <w:rsid w:val="00215757"/>
    <w:rsid w:val="00216E9D"/>
    <w:rsid w:val="00224519"/>
    <w:rsid w:val="002266D9"/>
    <w:rsid w:val="002418F8"/>
    <w:rsid w:val="00245F4D"/>
    <w:rsid w:val="0024698D"/>
    <w:rsid w:val="0024784E"/>
    <w:rsid w:val="0025325B"/>
    <w:rsid w:val="0025717D"/>
    <w:rsid w:val="00264F14"/>
    <w:rsid w:val="002737D9"/>
    <w:rsid w:val="00273E44"/>
    <w:rsid w:val="00275413"/>
    <w:rsid w:val="0028013F"/>
    <w:rsid w:val="00282541"/>
    <w:rsid w:val="002825F5"/>
    <w:rsid w:val="00286A84"/>
    <w:rsid w:val="0028736D"/>
    <w:rsid w:val="00295B44"/>
    <w:rsid w:val="00297FAF"/>
    <w:rsid w:val="002B2D48"/>
    <w:rsid w:val="002B3FA3"/>
    <w:rsid w:val="002C03CB"/>
    <w:rsid w:val="002C0F4A"/>
    <w:rsid w:val="002C1F82"/>
    <w:rsid w:val="002C34EA"/>
    <w:rsid w:val="002C5389"/>
    <w:rsid w:val="002D0572"/>
    <w:rsid w:val="002D6547"/>
    <w:rsid w:val="002D6A3A"/>
    <w:rsid w:val="002D7BE8"/>
    <w:rsid w:val="002F0474"/>
    <w:rsid w:val="002F378F"/>
    <w:rsid w:val="002F7AAC"/>
    <w:rsid w:val="002F7CA0"/>
    <w:rsid w:val="00304342"/>
    <w:rsid w:val="00305304"/>
    <w:rsid w:val="00305AFC"/>
    <w:rsid w:val="00306DF7"/>
    <w:rsid w:val="003074C6"/>
    <w:rsid w:val="00312404"/>
    <w:rsid w:val="00312F80"/>
    <w:rsid w:val="00316C67"/>
    <w:rsid w:val="00320356"/>
    <w:rsid w:val="00333A66"/>
    <w:rsid w:val="00341984"/>
    <w:rsid w:val="00342BCF"/>
    <w:rsid w:val="0034497F"/>
    <w:rsid w:val="00346E63"/>
    <w:rsid w:val="00350123"/>
    <w:rsid w:val="00356CB3"/>
    <w:rsid w:val="003579F6"/>
    <w:rsid w:val="003654AE"/>
    <w:rsid w:val="00366F08"/>
    <w:rsid w:val="003707BE"/>
    <w:rsid w:val="0038152F"/>
    <w:rsid w:val="00383509"/>
    <w:rsid w:val="00384432"/>
    <w:rsid w:val="00385662"/>
    <w:rsid w:val="003902F5"/>
    <w:rsid w:val="003A4184"/>
    <w:rsid w:val="003A5018"/>
    <w:rsid w:val="003A5DFD"/>
    <w:rsid w:val="003A60ED"/>
    <w:rsid w:val="003A7B3B"/>
    <w:rsid w:val="003B2688"/>
    <w:rsid w:val="003B326A"/>
    <w:rsid w:val="003B445A"/>
    <w:rsid w:val="003B7059"/>
    <w:rsid w:val="003C0369"/>
    <w:rsid w:val="003C38B6"/>
    <w:rsid w:val="003D6316"/>
    <w:rsid w:val="003D6DBD"/>
    <w:rsid w:val="003E1996"/>
    <w:rsid w:val="003E3268"/>
    <w:rsid w:val="003E6371"/>
    <w:rsid w:val="003E79CE"/>
    <w:rsid w:val="003F1DC0"/>
    <w:rsid w:val="003F2E3C"/>
    <w:rsid w:val="003F2F06"/>
    <w:rsid w:val="003F32D5"/>
    <w:rsid w:val="003F5C99"/>
    <w:rsid w:val="00404128"/>
    <w:rsid w:val="00405C0A"/>
    <w:rsid w:val="004075C5"/>
    <w:rsid w:val="00407763"/>
    <w:rsid w:val="00410BAC"/>
    <w:rsid w:val="00414F2C"/>
    <w:rsid w:val="004168AF"/>
    <w:rsid w:val="00417464"/>
    <w:rsid w:val="00433482"/>
    <w:rsid w:val="004336AE"/>
    <w:rsid w:val="00434FEE"/>
    <w:rsid w:val="00450B34"/>
    <w:rsid w:val="00453DC6"/>
    <w:rsid w:val="004606A7"/>
    <w:rsid w:val="00460E05"/>
    <w:rsid w:val="00462FCF"/>
    <w:rsid w:val="00466B05"/>
    <w:rsid w:val="00470C3F"/>
    <w:rsid w:val="00473BA9"/>
    <w:rsid w:val="00474BA4"/>
    <w:rsid w:val="00482B1B"/>
    <w:rsid w:val="0049023A"/>
    <w:rsid w:val="004957AB"/>
    <w:rsid w:val="00497AF5"/>
    <w:rsid w:val="004B46CF"/>
    <w:rsid w:val="004C3FE4"/>
    <w:rsid w:val="004D01D7"/>
    <w:rsid w:val="004D2666"/>
    <w:rsid w:val="004D51CE"/>
    <w:rsid w:val="004D7537"/>
    <w:rsid w:val="004E0D49"/>
    <w:rsid w:val="004E3301"/>
    <w:rsid w:val="005020EE"/>
    <w:rsid w:val="005025A3"/>
    <w:rsid w:val="005026C8"/>
    <w:rsid w:val="005028F6"/>
    <w:rsid w:val="00502C54"/>
    <w:rsid w:val="005036B0"/>
    <w:rsid w:val="00504EC0"/>
    <w:rsid w:val="005059B0"/>
    <w:rsid w:val="00510E4D"/>
    <w:rsid w:val="005268FB"/>
    <w:rsid w:val="005271F3"/>
    <w:rsid w:val="0053094F"/>
    <w:rsid w:val="005336E0"/>
    <w:rsid w:val="005340FD"/>
    <w:rsid w:val="00545AE5"/>
    <w:rsid w:val="005478B5"/>
    <w:rsid w:val="00553A4C"/>
    <w:rsid w:val="00554335"/>
    <w:rsid w:val="00555F2E"/>
    <w:rsid w:val="00557DBB"/>
    <w:rsid w:val="00560ED0"/>
    <w:rsid w:val="00566A61"/>
    <w:rsid w:val="00580722"/>
    <w:rsid w:val="005813A6"/>
    <w:rsid w:val="00583377"/>
    <w:rsid w:val="00592F5B"/>
    <w:rsid w:val="005A0FA9"/>
    <w:rsid w:val="005A6C54"/>
    <w:rsid w:val="005B0D47"/>
    <w:rsid w:val="005B4CDC"/>
    <w:rsid w:val="005C0B2C"/>
    <w:rsid w:val="005C2AAB"/>
    <w:rsid w:val="005C6817"/>
    <w:rsid w:val="005D65C0"/>
    <w:rsid w:val="005D7DF9"/>
    <w:rsid w:val="005E2412"/>
    <w:rsid w:val="005F24BB"/>
    <w:rsid w:val="005F6929"/>
    <w:rsid w:val="00610436"/>
    <w:rsid w:val="006273C9"/>
    <w:rsid w:val="00627CBB"/>
    <w:rsid w:val="00630904"/>
    <w:rsid w:val="00636A23"/>
    <w:rsid w:val="00636C04"/>
    <w:rsid w:val="00637834"/>
    <w:rsid w:val="00640B2C"/>
    <w:rsid w:val="006479AA"/>
    <w:rsid w:val="00647E9B"/>
    <w:rsid w:val="00654DC6"/>
    <w:rsid w:val="006625F1"/>
    <w:rsid w:val="00667CAD"/>
    <w:rsid w:val="00670027"/>
    <w:rsid w:val="00671E0A"/>
    <w:rsid w:val="0067482B"/>
    <w:rsid w:val="00674C9A"/>
    <w:rsid w:val="00675CDE"/>
    <w:rsid w:val="00681D5E"/>
    <w:rsid w:val="00692DC7"/>
    <w:rsid w:val="0069542C"/>
    <w:rsid w:val="006955EA"/>
    <w:rsid w:val="006A2455"/>
    <w:rsid w:val="006A78C9"/>
    <w:rsid w:val="006B15D2"/>
    <w:rsid w:val="006B36EB"/>
    <w:rsid w:val="006C0257"/>
    <w:rsid w:val="006C0909"/>
    <w:rsid w:val="006C0E29"/>
    <w:rsid w:val="006C4763"/>
    <w:rsid w:val="006C531C"/>
    <w:rsid w:val="006D30FE"/>
    <w:rsid w:val="006D3757"/>
    <w:rsid w:val="006E280F"/>
    <w:rsid w:val="006F12B9"/>
    <w:rsid w:val="006F29C1"/>
    <w:rsid w:val="006F7348"/>
    <w:rsid w:val="006F796D"/>
    <w:rsid w:val="0070014C"/>
    <w:rsid w:val="00700731"/>
    <w:rsid w:val="0070155F"/>
    <w:rsid w:val="0070462C"/>
    <w:rsid w:val="007206A5"/>
    <w:rsid w:val="00722F8F"/>
    <w:rsid w:val="00724A21"/>
    <w:rsid w:val="00733F46"/>
    <w:rsid w:val="007359BB"/>
    <w:rsid w:val="00735A71"/>
    <w:rsid w:val="007372A4"/>
    <w:rsid w:val="00741B04"/>
    <w:rsid w:val="007516D3"/>
    <w:rsid w:val="00754CFB"/>
    <w:rsid w:val="00767408"/>
    <w:rsid w:val="00770BF0"/>
    <w:rsid w:val="007722E3"/>
    <w:rsid w:val="00773920"/>
    <w:rsid w:val="00777A7D"/>
    <w:rsid w:val="00777B09"/>
    <w:rsid w:val="00782B44"/>
    <w:rsid w:val="00782D2A"/>
    <w:rsid w:val="00787D53"/>
    <w:rsid w:val="00794692"/>
    <w:rsid w:val="00794A54"/>
    <w:rsid w:val="007A22A2"/>
    <w:rsid w:val="007A364E"/>
    <w:rsid w:val="007A62C7"/>
    <w:rsid w:val="007B014B"/>
    <w:rsid w:val="007B77D6"/>
    <w:rsid w:val="007C7BD5"/>
    <w:rsid w:val="007D4836"/>
    <w:rsid w:val="007D60A5"/>
    <w:rsid w:val="007E2C84"/>
    <w:rsid w:val="007F0095"/>
    <w:rsid w:val="007F3C69"/>
    <w:rsid w:val="0080447E"/>
    <w:rsid w:val="00817593"/>
    <w:rsid w:val="0082299D"/>
    <w:rsid w:val="00824CBA"/>
    <w:rsid w:val="008338F7"/>
    <w:rsid w:val="00835F14"/>
    <w:rsid w:val="00856C8F"/>
    <w:rsid w:val="00860F40"/>
    <w:rsid w:val="008615C9"/>
    <w:rsid w:val="00863780"/>
    <w:rsid w:val="00867B35"/>
    <w:rsid w:val="00867B6D"/>
    <w:rsid w:val="00870E42"/>
    <w:rsid w:val="00872B11"/>
    <w:rsid w:val="00886D11"/>
    <w:rsid w:val="00887BD2"/>
    <w:rsid w:val="00890AA1"/>
    <w:rsid w:val="008942B2"/>
    <w:rsid w:val="0089492D"/>
    <w:rsid w:val="008979D5"/>
    <w:rsid w:val="008A4C3B"/>
    <w:rsid w:val="008B201C"/>
    <w:rsid w:val="008B2AD7"/>
    <w:rsid w:val="008B4C8F"/>
    <w:rsid w:val="008B6C64"/>
    <w:rsid w:val="008B7AAC"/>
    <w:rsid w:val="008C483C"/>
    <w:rsid w:val="008C5E03"/>
    <w:rsid w:val="008D1BFF"/>
    <w:rsid w:val="008D6B7E"/>
    <w:rsid w:val="008D7845"/>
    <w:rsid w:val="008F15E5"/>
    <w:rsid w:val="008F1F1A"/>
    <w:rsid w:val="008F2CA7"/>
    <w:rsid w:val="008F3BAE"/>
    <w:rsid w:val="0090290C"/>
    <w:rsid w:val="00911A1E"/>
    <w:rsid w:val="00911DFE"/>
    <w:rsid w:val="00912D41"/>
    <w:rsid w:val="00915E99"/>
    <w:rsid w:val="0092587A"/>
    <w:rsid w:val="00937C0C"/>
    <w:rsid w:val="00953C1C"/>
    <w:rsid w:val="009579F3"/>
    <w:rsid w:val="00963D03"/>
    <w:rsid w:val="009668DD"/>
    <w:rsid w:val="00967DF4"/>
    <w:rsid w:val="0097191C"/>
    <w:rsid w:val="009720D9"/>
    <w:rsid w:val="0097483F"/>
    <w:rsid w:val="00974D1A"/>
    <w:rsid w:val="0097570B"/>
    <w:rsid w:val="009777D3"/>
    <w:rsid w:val="009812DF"/>
    <w:rsid w:val="009859E6"/>
    <w:rsid w:val="0098652C"/>
    <w:rsid w:val="00990768"/>
    <w:rsid w:val="00997F55"/>
    <w:rsid w:val="009B3E4C"/>
    <w:rsid w:val="009C0A21"/>
    <w:rsid w:val="009C6933"/>
    <w:rsid w:val="009F3875"/>
    <w:rsid w:val="00A00C71"/>
    <w:rsid w:val="00A01B61"/>
    <w:rsid w:val="00A03428"/>
    <w:rsid w:val="00A04C7A"/>
    <w:rsid w:val="00A0588A"/>
    <w:rsid w:val="00A058E5"/>
    <w:rsid w:val="00A10A96"/>
    <w:rsid w:val="00A10BD8"/>
    <w:rsid w:val="00A11021"/>
    <w:rsid w:val="00A132A1"/>
    <w:rsid w:val="00A14487"/>
    <w:rsid w:val="00A2072E"/>
    <w:rsid w:val="00A230E3"/>
    <w:rsid w:val="00A237BB"/>
    <w:rsid w:val="00A24B62"/>
    <w:rsid w:val="00A27230"/>
    <w:rsid w:val="00A40030"/>
    <w:rsid w:val="00A415CF"/>
    <w:rsid w:val="00A53B5D"/>
    <w:rsid w:val="00A612FE"/>
    <w:rsid w:val="00A65186"/>
    <w:rsid w:val="00A65C9C"/>
    <w:rsid w:val="00A66271"/>
    <w:rsid w:val="00A6671B"/>
    <w:rsid w:val="00A675A0"/>
    <w:rsid w:val="00A74457"/>
    <w:rsid w:val="00A77758"/>
    <w:rsid w:val="00A82078"/>
    <w:rsid w:val="00A838C8"/>
    <w:rsid w:val="00A91C42"/>
    <w:rsid w:val="00A9516B"/>
    <w:rsid w:val="00A96103"/>
    <w:rsid w:val="00A9780A"/>
    <w:rsid w:val="00AA00AF"/>
    <w:rsid w:val="00AA42C8"/>
    <w:rsid w:val="00AA7F2B"/>
    <w:rsid w:val="00AB283D"/>
    <w:rsid w:val="00AB3511"/>
    <w:rsid w:val="00AB4673"/>
    <w:rsid w:val="00AB6D3F"/>
    <w:rsid w:val="00AC12B0"/>
    <w:rsid w:val="00AD312E"/>
    <w:rsid w:val="00AD7591"/>
    <w:rsid w:val="00AE4160"/>
    <w:rsid w:val="00AE4D4C"/>
    <w:rsid w:val="00AF09A9"/>
    <w:rsid w:val="00AF3982"/>
    <w:rsid w:val="00B024B0"/>
    <w:rsid w:val="00B049B7"/>
    <w:rsid w:val="00B10D70"/>
    <w:rsid w:val="00B16ED3"/>
    <w:rsid w:val="00B16F53"/>
    <w:rsid w:val="00B26B9D"/>
    <w:rsid w:val="00B2760E"/>
    <w:rsid w:val="00B34D02"/>
    <w:rsid w:val="00B41674"/>
    <w:rsid w:val="00B4434B"/>
    <w:rsid w:val="00B51489"/>
    <w:rsid w:val="00B51748"/>
    <w:rsid w:val="00B55D8C"/>
    <w:rsid w:val="00B61E5B"/>
    <w:rsid w:val="00B62FB6"/>
    <w:rsid w:val="00B8197F"/>
    <w:rsid w:val="00B829E8"/>
    <w:rsid w:val="00B85023"/>
    <w:rsid w:val="00B942A8"/>
    <w:rsid w:val="00B95096"/>
    <w:rsid w:val="00BA3FFB"/>
    <w:rsid w:val="00BA469B"/>
    <w:rsid w:val="00BB4A5B"/>
    <w:rsid w:val="00BC6BD3"/>
    <w:rsid w:val="00BC7C8C"/>
    <w:rsid w:val="00BC7F92"/>
    <w:rsid w:val="00BE4AA2"/>
    <w:rsid w:val="00BE5372"/>
    <w:rsid w:val="00BF0CC9"/>
    <w:rsid w:val="00BF1D8B"/>
    <w:rsid w:val="00BF2534"/>
    <w:rsid w:val="00C01405"/>
    <w:rsid w:val="00C12296"/>
    <w:rsid w:val="00C13158"/>
    <w:rsid w:val="00C20950"/>
    <w:rsid w:val="00C21ED6"/>
    <w:rsid w:val="00C25EB2"/>
    <w:rsid w:val="00C26886"/>
    <w:rsid w:val="00C32423"/>
    <w:rsid w:val="00C35DE1"/>
    <w:rsid w:val="00C514D2"/>
    <w:rsid w:val="00C524AA"/>
    <w:rsid w:val="00C54689"/>
    <w:rsid w:val="00C67A25"/>
    <w:rsid w:val="00C71728"/>
    <w:rsid w:val="00C776ED"/>
    <w:rsid w:val="00C81E8F"/>
    <w:rsid w:val="00C83CF1"/>
    <w:rsid w:val="00C95954"/>
    <w:rsid w:val="00CA4098"/>
    <w:rsid w:val="00CA65B2"/>
    <w:rsid w:val="00CA6621"/>
    <w:rsid w:val="00CA6DB9"/>
    <w:rsid w:val="00CB3C6D"/>
    <w:rsid w:val="00CB6C08"/>
    <w:rsid w:val="00CC254F"/>
    <w:rsid w:val="00CC3C0E"/>
    <w:rsid w:val="00CD0DCA"/>
    <w:rsid w:val="00CD1246"/>
    <w:rsid w:val="00CF20F6"/>
    <w:rsid w:val="00CF55F8"/>
    <w:rsid w:val="00D02446"/>
    <w:rsid w:val="00D12E0C"/>
    <w:rsid w:val="00D146B1"/>
    <w:rsid w:val="00D201C6"/>
    <w:rsid w:val="00D359E2"/>
    <w:rsid w:val="00D440A5"/>
    <w:rsid w:val="00D44B4A"/>
    <w:rsid w:val="00D457AD"/>
    <w:rsid w:val="00D53596"/>
    <w:rsid w:val="00D55C26"/>
    <w:rsid w:val="00D638E0"/>
    <w:rsid w:val="00D66986"/>
    <w:rsid w:val="00D67750"/>
    <w:rsid w:val="00D716BA"/>
    <w:rsid w:val="00D801AB"/>
    <w:rsid w:val="00D80945"/>
    <w:rsid w:val="00D820D5"/>
    <w:rsid w:val="00D83E4B"/>
    <w:rsid w:val="00D83EC3"/>
    <w:rsid w:val="00D84D17"/>
    <w:rsid w:val="00D858FB"/>
    <w:rsid w:val="00D85E77"/>
    <w:rsid w:val="00D86AF1"/>
    <w:rsid w:val="00D9089B"/>
    <w:rsid w:val="00DA696F"/>
    <w:rsid w:val="00DA6E5C"/>
    <w:rsid w:val="00DA774E"/>
    <w:rsid w:val="00DC2952"/>
    <w:rsid w:val="00DE472E"/>
    <w:rsid w:val="00DE4C79"/>
    <w:rsid w:val="00DF5648"/>
    <w:rsid w:val="00DF60E6"/>
    <w:rsid w:val="00DF75B8"/>
    <w:rsid w:val="00E017F5"/>
    <w:rsid w:val="00E10391"/>
    <w:rsid w:val="00E12B06"/>
    <w:rsid w:val="00E2301C"/>
    <w:rsid w:val="00E239B7"/>
    <w:rsid w:val="00E3303C"/>
    <w:rsid w:val="00E33E38"/>
    <w:rsid w:val="00E35D27"/>
    <w:rsid w:val="00E404FC"/>
    <w:rsid w:val="00E43A49"/>
    <w:rsid w:val="00E44962"/>
    <w:rsid w:val="00E46827"/>
    <w:rsid w:val="00E52035"/>
    <w:rsid w:val="00E54D56"/>
    <w:rsid w:val="00E5670B"/>
    <w:rsid w:val="00E62107"/>
    <w:rsid w:val="00E63F75"/>
    <w:rsid w:val="00E71CB9"/>
    <w:rsid w:val="00E73698"/>
    <w:rsid w:val="00E81FF0"/>
    <w:rsid w:val="00E8251C"/>
    <w:rsid w:val="00E9047E"/>
    <w:rsid w:val="00EB4027"/>
    <w:rsid w:val="00EB73A8"/>
    <w:rsid w:val="00EC27EF"/>
    <w:rsid w:val="00ED1074"/>
    <w:rsid w:val="00ED7729"/>
    <w:rsid w:val="00EE3614"/>
    <w:rsid w:val="00EE5467"/>
    <w:rsid w:val="00EE6413"/>
    <w:rsid w:val="00EE6E15"/>
    <w:rsid w:val="00EE7E70"/>
    <w:rsid w:val="00EF7445"/>
    <w:rsid w:val="00F0165E"/>
    <w:rsid w:val="00F10C5C"/>
    <w:rsid w:val="00F211EA"/>
    <w:rsid w:val="00F23BD1"/>
    <w:rsid w:val="00F336EF"/>
    <w:rsid w:val="00F4541D"/>
    <w:rsid w:val="00F534A5"/>
    <w:rsid w:val="00F557E3"/>
    <w:rsid w:val="00F67B3E"/>
    <w:rsid w:val="00F70DD5"/>
    <w:rsid w:val="00F812F0"/>
    <w:rsid w:val="00F81406"/>
    <w:rsid w:val="00F85A75"/>
    <w:rsid w:val="00FA1E1F"/>
    <w:rsid w:val="00FA3AA9"/>
    <w:rsid w:val="00FB2B5E"/>
    <w:rsid w:val="00FB3903"/>
    <w:rsid w:val="00FC05B5"/>
    <w:rsid w:val="00FC123C"/>
    <w:rsid w:val="00FC1369"/>
    <w:rsid w:val="00FC2881"/>
    <w:rsid w:val="00FC47B3"/>
    <w:rsid w:val="00FC49AF"/>
    <w:rsid w:val="00FC50AD"/>
    <w:rsid w:val="00FC7CB7"/>
    <w:rsid w:val="00FD315E"/>
    <w:rsid w:val="00FD3859"/>
    <w:rsid w:val="00FD74E1"/>
    <w:rsid w:val="00FD7DC1"/>
    <w:rsid w:val="00FE161E"/>
    <w:rsid w:val="00FE17EB"/>
    <w:rsid w:val="00FE5F92"/>
    <w:rsid w:val="00FE7F90"/>
    <w:rsid w:val="00FF6B49"/>
    <w:rsid w:val="00FF6BB8"/>
    <w:rsid w:val="00FF74F2"/>
    <w:rsid w:val="00FF7BFF"/>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5:docId w15:val="{6179A5BB-08B9-473F-AF32-1107BD04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uiPriority="64"/>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uiPriority="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73698"/>
    <w:pPr>
      <w:spacing w:after="200"/>
    </w:pPr>
    <w:rPr>
      <w:sz w:val="24"/>
      <w:szCs w:val="24"/>
    </w:rPr>
  </w:style>
  <w:style w:type="paragraph" w:styleId="Heading1">
    <w:name w:val="heading 1"/>
    <w:basedOn w:val="Normal"/>
    <w:next w:val="Normal"/>
    <w:link w:val="Heading1Char"/>
    <w:qFormat/>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E7369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BodyText"/>
    <w:link w:val="Heading4Char"/>
    <w:uiPriority w:val="9"/>
    <w:qFormat/>
    <w:rsid w:val="003A5018"/>
    <w:pPr>
      <w:keepNext/>
      <w:tabs>
        <w:tab w:val="left" w:pos="-720"/>
      </w:tabs>
      <w:suppressAutoHyphens/>
      <w:spacing w:before="240" w:after="120"/>
      <w:outlineLvl w:val="3"/>
    </w:pPr>
    <w:rPr>
      <w:rFonts w:ascii="Times New Roman" w:eastAsia="Times New Roman" w:hAnsi="Times New Roman"/>
      <w:b/>
      <w:i/>
      <w:spacing w:val="-3"/>
      <w:szCs w:val="20"/>
      <w:lang w:val="en-AU"/>
    </w:rPr>
  </w:style>
  <w:style w:type="paragraph" w:styleId="Heading5">
    <w:name w:val="heading 5"/>
    <w:basedOn w:val="Normal"/>
    <w:next w:val="Normal"/>
    <w:link w:val="Heading5Char"/>
    <w:qFormat/>
    <w:rsid w:val="003A5018"/>
    <w:pPr>
      <w:spacing w:before="240" w:after="60"/>
      <w:outlineLvl w:val="4"/>
    </w:pPr>
    <w:rPr>
      <w:rFonts w:ascii="Times New Roman" w:eastAsia="Times New Roman" w:hAnsi="Times New Roman"/>
      <w:b/>
      <w:sz w:val="22"/>
      <w:szCs w:val="20"/>
      <w:lang w:val="en-AU"/>
    </w:rPr>
  </w:style>
  <w:style w:type="paragraph" w:styleId="Heading6">
    <w:name w:val="heading 6"/>
    <w:basedOn w:val="Normal"/>
    <w:next w:val="Normal"/>
    <w:link w:val="Heading6Char"/>
    <w:qFormat/>
    <w:rsid w:val="003A5018"/>
    <w:pPr>
      <w:keepNext/>
      <w:tabs>
        <w:tab w:val="left" w:pos="-720"/>
      </w:tabs>
      <w:suppressAutoHyphens/>
      <w:spacing w:after="0"/>
      <w:outlineLvl w:val="5"/>
    </w:pPr>
    <w:rPr>
      <w:rFonts w:ascii="Times New Roman" w:eastAsia="Times New Roman" w:hAnsi="Times New Roman"/>
      <w:b/>
      <w:spacing w:val="-3"/>
      <w:sz w:val="29"/>
      <w:szCs w:val="20"/>
      <w:lang w:val="en-AU"/>
    </w:rPr>
  </w:style>
  <w:style w:type="paragraph" w:styleId="Heading7">
    <w:name w:val="heading 7"/>
    <w:basedOn w:val="Normal"/>
    <w:next w:val="Normal"/>
    <w:link w:val="Heading7Char"/>
    <w:qFormat/>
    <w:rsid w:val="003A5018"/>
    <w:pPr>
      <w:keepNext/>
      <w:spacing w:after="0"/>
      <w:jc w:val="right"/>
      <w:outlineLvl w:val="6"/>
    </w:pPr>
    <w:rPr>
      <w:rFonts w:ascii="Times New Roman" w:eastAsia="Times New Roman" w:hAnsi="Times New Roman"/>
      <w:b/>
      <w:sz w:val="29"/>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335"/>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554335"/>
    <w:pPr>
      <w:spacing w:before="200"/>
      <w:outlineLvl w:val="0"/>
    </w:pPr>
    <w:rPr>
      <w:rFonts w:ascii="Arial" w:hAnsi="Arial" w:cs="Arial"/>
      <w:color w:val="00BCCE"/>
      <w:sz w:val="32"/>
      <w:szCs w:val="52"/>
    </w:rPr>
  </w:style>
  <w:style w:type="paragraph" w:styleId="Footer">
    <w:name w:val="footer"/>
    <w:basedOn w:val="Normal"/>
    <w:link w:val="FooterChar"/>
    <w:uiPriority w:val="99"/>
    <w:unhideWhenUsed/>
    <w:rsid w:val="00860F40"/>
    <w:pPr>
      <w:tabs>
        <w:tab w:val="center" w:pos="4320"/>
        <w:tab w:val="right" w:pos="8640"/>
      </w:tabs>
      <w:spacing w:after="0"/>
    </w:pPr>
  </w:style>
  <w:style w:type="character" w:customStyle="1" w:styleId="FooterChar">
    <w:name w:val="Footer Char"/>
    <w:basedOn w:val="DefaultParagraphFont"/>
    <w:link w:val="Footer"/>
    <w:uiPriority w:val="99"/>
    <w:rsid w:val="00860F40"/>
  </w:style>
  <w:style w:type="paragraph" w:customStyle="1" w:styleId="AHPRAbodytext">
    <w:name w:val="AHPRA body text"/>
    <w:basedOn w:val="Normal"/>
    <w:rsid w:val="00E73698"/>
    <w:rPr>
      <w:rFonts w:ascii="Arial" w:hAnsi="Arial" w:cs="Arial"/>
      <w:sz w:val="20"/>
    </w:rPr>
  </w:style>
  <w:style w:type="paragraph" w:customStyle="1" w:styleId="AHPRAHeadline">
    <w:name w:val="AHPRA Headline"/>
    <w:basedOn w:val="Normal"/>
    <w:qFormat/>
    <w:rsid w:val="002C4C51"/>
    <w:rPr>
      <w:rFonts w:ascii="Arial" w:hAnsi="Arial"/>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AHPRADocumentsubheading">
    <w:name w:val="AHPRA Document subheading"/>
    <w:basedOn w:val="Normal"/>
    <w:next w:val="Normal"/>
    <w:qFormat/>
    <w:rsid w:val="00554335"/>
    <w:pPr>
      <w:outlineLvl w:val="0"/>
    </w:pPr>
    <w:rPr>
      <w:rFonts w:ascii="Arial" w:hAnsi="Arial" w:cs="Arial"/>
      <w:color w:val="808080"/>
      <w:sz w:val="28"/>
      <w:szCs w:val="52"/>
    </w:rPr>
  </w:style>
  <w:style w:type="paragraph" w:customStyle="1" w:styleId="AHPRASubheading">
    <w:name w:val="AHPRA Subheading"/>
    <w:basedOn w:val="Normal"/>
    <w:qFormat/>
    <w:rsid w:val="00554335"/>
    <w:pPr>
      <w:spacing w:before="200"/>
    </w:pPr>
    <w:rPr>
      <w:rFonts w:ascii="Arial" w:hAnsi="Arial"/>
      <w:b/>
      <w:color w:val="008EC4"/>
      <w:sz w:val="20"/>
    </w:rPr>
  </w:style>
  <w:style w:type="paragraph" w:customStyle="1" w:styleId="AHPRASubheadinglevel2">
    <w:name w:val="AHPRA Subheading level 2"/>
    <w:basedOn w:val="AHPRASubheading"/>
    <w:next w:val="Normal"/>
    <w:qFormat/>
    <w:rsid w:val="003F5C99"/>
    <w:rPr>
      <w:color w:val="auto"/>
    </w:rPr>
  </w:style>
  <w:style w:type="paragraph" w:customStyle="1" w:styleId="AHPRASubheadinglevel3">
    <w:name w:val="AHPRA Subheading level 3"/>
    <w:basedOn w:val="AHPRASubheading"/>
    <w:next w:val="Normal"/>
    <w:qFormat/>
    <w:rsid w:val="00554335"/>
    <w:rPr>
      <w:b w:val="0"/>
      <w:i/>
    </w:rPr>
  </w:style>
  <w:style w:type="paragraph" w:customStyle="1" w:styleId="AHPRABulletlevel1">
    <w:name w:val="AHPRA Bullet level 1"/>
    <w:basedOn w:val="Normal"/>
    <w:qFormat/>
    <w:rsid w:val="00E73698"/>
    <w:pPr>
      <w:numPr>
        <w:numId w:val="8"/>
      </w:numPr>
      <w:spacing w:after="0"/>
      <w:ind w:left="357" w:hanging="357"/>
    </w:pPr>
    <w:rPr>
      <w:rFonts w:ascii="Arial" w:hAnsi="Arial"/>
      <w:sz w:val="20"/>
    </w:rPr>
  </w:style>
  <w:style w:type="paragraph" w:customStyle="1" w:styleId="AHPRABulletlevel2">
    <w:name w:val="AHPRA Bullet level 2"/>
    <w:basedOn w:val="AHPRABulletlevel1"/>
    <w:rsid w:val="00E12B06"/>
    <w:pPr>
      <w:numPr>
        <w:numId w:val="5"/>
      </w:numPr>
    </w:pPr>
  </w:style>
  <w:style w:type="paragraph" w:customStyle="1" w:styleId="AHPRABulletlevel3">
    <w:name w:val="AHPRA Bullet level 3"/>
    <w:basedOn w:val="AHPRABulletlevel2"/>
    <w:rsid w:val="00E12B06"/>
    <w:pPr>
      <w:numPr>
        <w:numId w:val="6"/>
      </w:numPr>
    </w:pPr>
  </w:style>
  <w:style w:type="paragraph" w:customStyle="1" w:styleId="AHPRABulletText">
    <w:name w:val="AHPRA Bullet Text"/>
    <w:basedOn w:val="Normal"/>
    <w:next w:val="Normal"/>
    <w:rsid w:val="00554335"/>
    <w:pPr>
      <w:numPr>
        <w:numId w:val="3"/>
      </w:numPr>
    </w:pPr>
    <w:rPr>
      <w:rFonts w:ascii="Arial MT Lt" w:hAnsi="Arial MT Lt"/>
      <w:sz w:val="20"/>
    </w:rPr>
  </w:style>
  <w:style w:type="paragraph" w:customStyle="1" w:styleId="AHPRATitle">
    <w:name w:val="AHPRA Title"/>
    <w:basedOn w:val="Normal"/>
    <w:next w:val="AHPRAHeadline"/>
    <w:qFormat/>
    <w:rsid w:val="004B5F65"/>
    <w:pPr>
      <w:outlineLvl w:val="0"/>
    </w:pPr>
    <w:rPr>
      <w:rFonts w:ascii="Arial" w:hAnsi="Arial" w:cs="Arial"/>
      <w:color w:val="808080"/>
      <w:sz w:val="44"/>
      <w:szCs w:val="52"/>
    </w:rPr>
  </w:style>
  <w:style w:type="paragraph" w:customStyle="1" w:styleId="AHPRANumberedText">
    <w:name w:val="AHPRA Numbered Text"/>
    <w:basedOn w:val="AHPRABulletText"/>
    <w:qFormat/>
    <w:rsid w:val="00AF1191"/>
    <w:pPr>
      <w:numPr>
        <w:numId w:val="4"/>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0">
    <w:name w:val="AHPRA numbered subheading level 1"/>
    <w:basedOn w:val="AHPRASubheading"/>
    <w:next w:val="Normal"/>
    <w:rsid w:val="00E73698"/>
    <w:pPr>
      <w:numPr>
        <w:numId w:val="7"/>
      </w:numPr>
      <w:ind w:left="284" w:hanging="284"/>
    </w:pPr>
  </w:style>
  <w:style w:type="paragraph" w:customStyle="1" w:styleId="AHPRAnumberedbulletpoint">
    <w:name w:val="AHPRA numbered bullet point"/>
    <w:basedOn w:val="AHPRABulletlevel1"/>
    <w:rsid w:val="009859E6"/>
    <w:pPr>
      <w:numPr>
        <w:numId w:val="9"/>
      </w:numPr>
      <w:ind w:left="714" w:hanging="357"/>
    </w:pPr>
  </w:style>
  <w:style w:type="paragraph" w:customStyle="1" w:styleId="AHPRAtableheadings">
    <w:name w:val="AHPRA table headings"/>
    <w:basedOn w:val="Normal"/>
    <w:rsid w:val="00E73698"/>
    <w:pPr>
      <w:spacing w:before="120" w:after="120"/>
      <w:jc w:val="center"/>
    </w:pPr>
    <w:rPr>
      <w:rFonts w:ascii="Arial" w:hAnsi="Arial"/>
      <w:b/>
      <w:sz w:val="20"/>
    </w:rPr>
  </w:style>
  <w:style w:type="paragraph" w:customStyle="1" w:styleId="AHPRAlastbulletpoint">
    <w:name w:val="AHPRA last bullet point"/>
    <w:basedOn w:val="AHPRABulletlevel1"/>
    <w:next w:val="Normal"/>
    <w:rsid w:val="00B024B0"/>
    <w:pPr>
      <w:spacing w:after="200"/>
    </w:pPr>
  </w:style>
  <w:style w:type="paragraph" w:customStyle="1" w:styleId="AHPRAlastnumberedbulletpoint">
    <w:name w:val="AHPRA last numbered bullet point"/>
    <w:basedOn w:val="AHPRAnumberedbulletpoint"/>
    <w:next w:val="Normal"/>
    <w:rsid w:val="00B024B0"/>
    <w:pPr>
      <w:spacing w:after="200"/>
    </w:pPr>
  </w:style>
  <w:style w:type="character" w:customStyle="1" w:styleId="AHPRAbodyitalics">
    <w:name w:val="AHPRA body italics"/>
    <w:basedOn w:val="DefaultParagraphFont"/>
    <w:uiPriority w:val="1"/>
    <w:rsid w:val="00E73698"/>
    <w:rPr>
      <w:i/>
    </w:rPr>
  </w:style>
  <w:style w:type="character" w:customStyle="1" w:styleId="AHPRAbodybold">
    <w:name w:val="AHPRA body bold"/>
    <w:basedOn w:val="DefaultParagraphFont"/>
    <w:uiPriority w:val="1"/>
    <w:rsid w:val="00E73698"/>
    <w:rPr>
      <w:b/>
    </w:rPr>
  </w:style>
  <w:style w:type="character" w:customStyle="1" w:styleId="Heading3Char">
    <w:name w:val="Heading 3 Char"/>
    <w:basedOn w:val="DefaultParagraphFont"/>
    <w:link w:val="Heading3"/>
    <w:rsid w:val="00E73698"/>
    <w:rPr>
      <w:rFonts w:asciiTheme="majorHAnsi" w:eastAsiaTheme="majorEastAsia" w:hAnsiTheme="majorHAnsi" w:cstheme="majorBidi"/>
      <w:b/>
      <w:bCs/>
      <w:sz w:val="26"/>
      <w:szCs w:val="26"/>
    </w:rPr>
  </w:style>
  <w:style w:type="paragraph" w:styleId="Header">
    <w:name w:val="header"/>
    <w:basedOn w:val="Normal"/>
    <w:link w:val="HeaderChar"/>
    <w:rsid w:val="00E73698"/>
    <w:pPr>
      <w:tabs>
        <w:tab w:val="center" w:pos="4513"/>
        <w:tab w:val="right" w:pos="9026"/>
      </w:tabs>
    </w:pPr>
  </w:style>
  <w:style w:type="character" w:customStyle="1" w:styleId="HeaderChar">
    <w:name w:val="Header Char"/>
    <w:basedOn w:val="DefaultParagraphFont"/>
    <w:link w:val="Header"/>
    <w:rsid w:val="00E73698"/>
    <w:rPr>
      <w:sz w:val="24"/>
      <w:szCs w:val="24"/>
    </w:rPr>
  </w:style>
  <w:style w:type="paragraph" w:customStyle="1" w:styleId="AHPRApagenumber">
    <w:name w:val="AHPRA page number"/>
    <w:basedOn w:val="Footer"/>
    <w:rsid w:val="00E73698"/>
    <w:pPr>
      <w:framePr w:wrap="around" w:vAnchor="text" w:hAnchor="margin" w:xAlign="right" w:y="1"/>
    </w:pPr>
    <w:rPr>
      <w:rFonts w:ascii="Arial" w:hAnsi="Arial" w:cs="Arial"/>
      <w:color w:val="008EC4"/>
      <w:sz w:val="18"/>
    </w:rPr>
  </w:style>
  <w:style w:type="paragraph" w:styleId="FootnoteText">
    <w:name w:val="footnote text"/>
    <w:basedOn w:val="Normal"/>
    <w:link w:val="FootnoteTextChar"/>
    <w:rsid w:val="00E73698"/>
    <w:rPr>
      <w:sz w:val="20"/>
      <w:szCs w:val="20"/>
    </w:rPr>
  </w:style>
  <w:style w:type="character" w:customStyle="1" w:styleId="FootnoteTextChar">
    <w:name w:val="Footnote Text Char"/>
    <w:basedOn w:val="DefaultParagraphFont"/>
    <w:link w:val="FootnoteText"/>
    <w:rsid w:val="00E73698"/>
  </w:style>
  <w:style w:type="character" w:styleId="FootnoteReference">
    <w:name w:val="footnote reference"/>
    <w:basedOn w:val="DefaultParagraphFont"/>
    <w:rsid w:val="00E73698"/>
    <w:rPr>
      <w:vertAlign w:val="superscript"/>
    </w:rPr>
  </w:style>
  <w:style w:type="paragraph" w:customStyle="1" w:styleId="AHPRAfootnote">
    <w:name w:val="AHPRA footnote"/>
    <w:basedOn w:val="FootnoteText"/>
    <w:rsid w:val="00E73698"/>
    <w:rPr>
      <w:rFonts w:ascii="Arial" w:hAnsi="Arial" w:cs="Arial"/>
      <w:i/>
      <w:color w:val="008EC4"/>
      <w:sz w:val="18"/>
    </w:rPr>
  </w:style>
  <w:style w:type="character" w:customStyle="1" w:styleId="Heading2Char">
    <w:name w:val="Heading 2 Char"/>
    <w:basedOn w:val="DefaultParagraphFont"/>
    <w:link w:val="Heading2"/>
    <w:rsid w:val="00E73698"/>
    <w:rPr>
      <w:rFonts w:asciiTheme="majorHAnsi" w:eastAsiaTheme="majorEastAsia" w:hAnsiTheme="majorHAnsi" w:cstheme="majorBidi"/>
      <w:b/>
      <w:bCs/>
      <w:i/>
      <w:iCs/>
      <w:sz w:val="28"/>
      <w:szCs w:val="28"/>
    </w:rPr>
  </w:style>
  <w:style w:type="paragraph" w:styleId="TOC2">
    <w:name w:val="toc 2"/>
    <w:basedOn w:val="Normal"/>
    <w:next w:val="Normal"/>
    <w:autoRedefine/>
    <w:uiPriority w:val="39"/>
    <w:rsid w:val="00E73698"/>
    <w:pPr>
      <w:ind w:left="240"/>
    </w:pPr>
  </w:style>
  <w:style w:type="paragraph" w:styleId="TOC1">
    <w:name w:val="toc 1"/>
    <w:aliases w:val="AHPRA table of contents"/>
    <w:basedOn w:val="Normal"/>
    <w:next w:val="Normal"/>
    <w:autoRedefine/>
    <w:uiPriority w:val="39"/>
    <w:rsid w:val="00E73698"/>
    <w:pPr>
      <w:tabs>
        <w:tab w:val="right" w:leader="dot" w:pos="9488"/>
      </w:tabs>
    </w:pPr>
    <w:rPr>
      <w:rFonts w:ascii="Arial" w:hAnsi="Arial"/>
      <w:b/>
      <w:noProof/>
      <w:color w:val="008EC4"/>
      <w:sz w:val="20"/>
    </w:rPr>
  </w:style>
  <w:style w:type="paragraph" w:styleId="TOC3">
    <w:name w:val="toc 3"/>
    <w:basedOn w:val="Normal"/>
    <w:next w:val="Normal"/>
    <w:autoRedefine/>
    <w:uiPriority w:val="39"/>
    <w:rsid w:val="00E73698"/>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Normal"/>
    <w:rsid w:val="00E73698"/>
    <w:pPr>
      <w:spacing w:before="120" w:after="120"/>
    </w:pPr>
    <w:rPr>
      <w:rFonts w:ascii="Arial" w:hAnsi="Arial"/>
      <w:sz w:val="20"/>
      <w:szCs w:val="20"/>
    </w:rPr>
  </w:style>
  <w:style w:type="character" w:customStyle="1" w:styleId="AHPRAbodyunderline">
    <w:name w:val="AHPRA body underline"/>
    <w:basedOn w:val="DefaultParagraphFont"/>
    <w:uiPriority w:val="1"/>
    <w:rsid w:val="00E73698"/>
    <w:rPr>
      <w:u w:val="single"/>
    </w:rPr>
  </w:style>
  <w:style w:type="paragraph" w:styleId="BalloonText">
    <w:name w:val="Balloon Text"/>
    <w:basedOn w:val="Normal"/>
    <w:link w:val="BalloonTextChar"/>
    <w:uiPriority w:val="99"/>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8979D5"/>
    <w:rPr>
      <w:rFonts w:ascii="Tahoma" w:hAnsi="Tahoma" w:cs="Tahoma"/>
      <w:sz w:val="16"/>
      <w:szCs w:val="16"/>
    </w:rPr>
  </w:style>
  <w:style w:type="paragraph" w:customStyle="1" w:styleId="AHPRAbody">
    <w:name w:val="AHPRA body"/>
    <w:basedOn w:val="Normal"/>
    <w:link w:val="AHPRAbodyChar"/>
    <w:qFormat/>
    <w:rsid w:val="003074C6"/>
    <w:rPr>
      <w:rFonts w:ascii="Arial" w:hAnsi="Arial" w:cs="Arial"/>
      <w:sz w:val="20"/>
      <w:lang w:val="en-AU"/>
    </w:rPr>
  </w:style>
  <w:style w:type="paragraph" w:customStyle="1" w:styleId="AHPRANumberedlistlevel2">
    <w:name w:val="AHPRA Numbered list level 2"/>
    <w:basedOn w:val="AHPRANumberedlistlevel1"/>
    <w:rsid w:val="003074C6"/>
    <w:pPr>
      <w:numPr>
        <w:ilvl w:val="1"/>
      </w:numPr>
    </w:pPr>
  </w:style>
  <w:style w:type="paragraph" w:customStyle="1" w:styleId="AHPRANumberedsubheadinglevel1">
    <w:name w:val="AHPRA Numbered subheading level 1"/>
    <w:basedOn w:val="AHPRASubheading"/>
    <w:next w:val="AHPRAbody"/>
    <w:rsid w:val="003074C6"/>
    <w:pPr>
      <w:numPr>
        <w:numId w:val="12"/>
      </w:numPr>
    </w:pPr>
    <w:rPr>
      <w:color w:val="007DC3"/>
      <w:lang w:val="en-AU"/>
    </w:rPr>
  </w:style>
  <w:style w:type="paragraph" w:customStyle="1" w:styleId="AHPRANumberedlistlevel2withspace">
    <w:name w:val="AHPRA Numbered list level 2 with space"/>
    <w:basedOn w:val="AHPRANumberedlistlevel2"/>
    <w:next w:val="AHPRAbody"/>
    <w:rsid w:val="003074C6"/>
    <w:pPr>
      <w:spacing w:after="240"/>
    </w:pPr>
  </w:style>
  <w:style w:type="paragraph" w:customStyle="1" w:styleId="AHPRAtableheading">
    <w:name w:val="AHPRA table heading"/>
    <w:basedOn w:val="Normal"/>
    <w:rsid w:val="003074C6"/>
    <w:pPr>
      <w:spacing w:before="120" w:after="120"/>
      <w:jc w:val="center"/>
    </w:pPr>
    <w:rPr>
      <w:rFonts w:ascii="Arial" w:hAnsi="Arial"/>
      <w:b/>
      <w:sz w:val="20"/>
      <w:lang w:val="en-AU"/>
    </w:rPr>
  </w:style>
  <w:style w:type="paragraph" w:customStyle="1" w:styleId="AHPRABulletlevel1last">
    <w:name w:val="AHPRA Bullet level 1 last"/>
    <w:basedOn w:val="AHPRABulletlevel1"/>
    <w:next w:val="Normal"/>
    <w:rsid w:val="003074C6"/>
    <w:pPr>
      <w:numPr>
        <w:numId w:val="2"/>
      </w:numPr>
      <w:spacing w:after="200"/>
    </w:pPr>
    <w:rPr>
      <w:lang w:val="en-AU"/>
    </w:rPr>
  </w:style>
  <w:style w:type="paragraph" w:customStyle="1" w:styleId="AHPRANumberedlistlevel1withspace">
    <w:name w:val="AHPRA Numbered list level 1 with space"/>
    <w:basedOn w:val="AHPRANumberedlistlevel1"/>
    <w:next w:val="AHPRAbody"/>
    <w:rsid w:val="003074C6"/>
    <w:pPr>
      <w:spacing w:after="200"/>
    </w:pPr>
  </w:style>
  <w:style w:type="paragraph" w:customStyle="1" w:styleId="AHPRAfooter">
    <w:name w:val="AHPRA footer"/>
    <w:basedOn w:val="FootnoteText"/>
    <w:rsid w:val="003074C6"/>
    <w:pPr>
      <w:spacing w:after="0"/>
    </w:pPr>
    <w:rPr>
      <w:rFonts w:ascii="Arial" w:hAnsi="Arial" w:cs="Arial"/>
      <w:color w:val="5F6062"/>
      <w:sz w:val="18"/>
      <w:lang w:val="en-AU"/>
    </w:rPr>
  </w:style>
  <w:style w:type="character" w:styleId="IntenseEmphasis">
    <w:name w:val="Intense Emphasis"/>
    <w:aliases w:val="AHPRA- Footer"/>
    <w:uiPriority w:val="1"/>
    <w:unhideWhenUsed/>
    <w:qFormat/>
    <w:rsid w:val="003074C6"/>
    <w:rPr>
      <w:rFonts w:ascii="Arial" w:hAnsi="Arial" w:cs="Arial"/>
      <w:sz w:val="16"/>
    </w:rPr>
  </w:style>
  <w:style w:type="numbering" w:customStyle="1" w:styleId="AHPRANumberedlist">
    <w:name w:val="AHPRA Numbered list"/>
    <w:uiPriority w:val="99"/>
    <w:rsid w:val="003074C6"/>
    <w:pPr>
      <w:numPr>
        <w:numId w:val="10"/>
      </w:numPr>
    </w:pPr>
  </w:style>
  <w:style w:type="numbering" w:customStyle="1" w:styleId="AHPRANumberedheadinglist">
    <w:name w:val="AHPRA Numbered heading list"/>
    <w:uiPriority w:val="99"/>
    <w:rsid w:val="003074C6"/>
    <w:pPr>
      <w:numPr>
        <w:numId w:val="11"/>
      </w:numPr>
    </w:pPr>
  </w:style>
  <w:style w:type="paragraph" w:customStyle="1" w:styleId="AHPRANumberedlistlevel3withspace">
    <w:name w:val="AHPRA Numbered list level 3 with space"/>
    <w:basedOn w:val="AHPRANumberedlistlevel3"/>
    <w:next w:val="AHPRAbody"/>
    <w:rsid w:val="003074C6"/>
    <w:pPr>
      <w:spacing w:after="200"/>
    </w:pPr>
  </w:style>
  <w:style w:type="paragraph" w:customStyle="1" w:styleId="StyleAHPRASubheadingNotBold">
    <w:name w:val="Style AHPRA Subheading + Not Bold"/>
    <w:basedOn w:val="AHPRASubheading"/>
    <w:uiPriority w:val="1"/>
    <w:semiHidden/>
    <w:unhideWhenUsed/>
    <w:rsid w:val="003074C6"/>
    <w:rPr>
      <w:b w:val="0"/>
      <w:color w:val="007DC3"/>
      <w:lang w:val="en-AU"/>
    </w:rPr>
  </w:style>
  <w:style w:type="paragraph" w:customStyle="1" w:styleId="AHPRABulletlevel2last">
    <w:name w:val="AHPRA Bullet level 2 last"/>
    <w:basedOn w:val="AHPRABulletlevel2"/>
    <w:next w:val="AHPRAbody"/>
    <w:rsid w:val="003074C6"/>
    <w:pPr>
      <w:spacing w:after="200"/>
      <w:ind w:left="738" w:hanging="369"/>
    </w:pPr>
    <w:rPr>
      <w:lang w:val="en-AU"/>
    </w:rPr>
  </w:style>
  <w:style w:type="paragraph" w:customStyle="1" w:styleId="AHPRABulletlevel3last">
    <w:name w:val="AHPRA Bullet level 3 last"/>
    <w:basedOn w:val="AHPRABulletlevel3"/>
    <w:next w:val="AHPRAbody"/>
    <w:rsid w:val="003074C6"/>
    <w:pPr>
      <w:numPr>
        <w:numId w:val="1"/>
      </w:numPr>
      <w:spacing w:after="200"/>
      <w:ind w:left="1106" w:hanging="369"/>
    </w:pPr>
    <w:rPr>
      <w:lang w:val="en-AU"/>
    </w:rPr>
  </w:style>
  <w:style w:type="paragraph" w:customStyle="1" w:styleId="AHPRAfirstpagefooter">
    <w:name w:val="AHPRA first page footer"/>
    <w:basedOn w:val="AHPRAfooter"/>
    <w:rsid w:val="003074C6"/>
    <w:pPr>
      <w:jc w:val="center"/>
    </w:pPr>
    <w:rPr>
      <w:b/>
    </w:rPr>
  </w:style>
  <w:style w:type="paragraph" w:customStyle="1" w:styleId="AHPRANumberedlistlevel1">
    <w:name w:val="AHPRA Numbered list level 1"/>
    <w:basedOn w:val="AHPRABulletlevel1"/>
    <w:rsid w:val="003074C6"/>
    <w:pPr>
      <w:numPr>
        <w:numId w:val="13"/>
      </w:numPr>
    </w:pPr>
    <w:rPr>
      <w:lang w:val="en-AU"/>
    </w:rPr>
  </w:style>
  <w:style w:type="paragraph" w:customStyle="1" w:styleId="AHPRANumberedlistlevel3">
    <w:name w:val="AHPRA Numbered list level 3"/>
    <w:basedOn w:val="AHPRANumberedlistlevel1"/>
    <w:rsid w:val="003074C6"/>
    <w:pPr>
      <w:numPr>
        <w:ilvl w:val="2"/>
      </w:numPr>
    </w:pPr>
  </w:style>
  <w:style w:type="paragraph" w:customStyle="1" w:styleId="AHPRANumberedsubheadinglevel2">
    <w:name w:val="AHPRA Numbered subheading level 2"/>
    <w:basedOn w:val="AHPRANumberedsubheadinglevel1"/>
    <w:next w:val="AHPRAbody"/>
    <w:rsid w:val="003074C6"/>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074C6"/>
    <w:pPr>
      <w:numPr>
        <w:ilvl w:val="2"/>
      </w:numPr>
    </w:pPr>
    <w:rPr>
      <w:b w:val="0"/>
      <w:color w:val="007DC3"/>
    </w:rPr>
  </w:style>
  <w:style w:type="paragraph" w:customStyle="1" w:styleId="AHPRAtablebullets">
    <w:name w:val="AHPRA table bullets"/>
    <w:basedOn w:val="AHPRABulletlevel1"/>
    <w:rsid w:val="003074C6"/>
    <w:pPr>
      <w:numPr>
        <w:numId w:val="0"/>
      </w:numPr>
      <w:tabs>
        <w:tab w:val="num" w:pos="360"/>
      </w:tabs>
      <w:ind w:left="360" w:hanging="360"/>
    </w:pPr>
    <w:rPr>
      <w:lang w:val="en-AU"/>
    </w:rPr>
  </w:style>
  <w:style w:type="character" w:customStyle="1" w:styleId="AHPRAbodyChar">
    <w:name w:val="AHPRA body Char"/>
    <w:basedOn w:val="DefaultParagraphFont"/>
    <w:link w:val="AHPRAbody"/>
    <w:rsid w:val="003074C6"/>
    <w:rPr>
      <w:rFonts w:ascii="Arial" w:hAnsi="Arial" w:cs="Arial"/>
      <w:szCs w:val="24"/>
      <w:lang w:val="en-AU"/>
    </w:rPr>
  </w:style>
  <w:style w:type="character" w:customStyle="1" w:styleId="AHPRAbodyboldChar">
    <w:name w:val="AHPRA body bold Char"/>
    <w:basedOn w:val="AHPRAbodyChar"/>
    <w:rsid w:val="003074C6"/>
    <w:rPr>
      <w:rFonts w:ascii="Arial" w:hAnsi="Arial" w:cs="Arial"/>
      <w:b/>
      <w:szCs w:val="24"/>
      <w:lang w:val="en-AU"/>
    </w:rPr>
  </w:style>
  <w:style w:type="paragraph" w:styleId="TOCHeading">
    <w:name w:val="TOC Heading"/>
    <w:basedOn w:val="AHPRADocumentsubheading"/>
    <w:next w:val="AHPRAbody"/>
    <w:uiPriority w:val="39"/>
    <w:unhideWhenUsed/>
    <w:qFormat/>
    <w:rsid w:val="003074C6"/>
    <w:pPr>
      <w:keepLines/>
      <w:spacing w:before="480" w:after="0" w:line="276" w:lineRule="auto"/>
      <w:outlineLvl w:val="9"/>
    </w:pPr>
    <w:rPr>
      <w:color w:val="5F6062"/>
      <w:szCs w:val="28"/>
      <w:lang w:val="en-AU"/>
    </w:rPr>
  </w:style>
  <w:style w:type="character" w:customStyle="1" w:styleId="AHPRAbodyitalicsChar">
    <w:name w:val="AHPRA body italics Char"/>
    <w:basedOn w:val="AHPRAbodyboldChar"/>
    <w:rsid w:val="003074C6"/>
    <w:rPr>
      <w:rFonts w:ascii="Arial" w:hAnsi="Arial" w:cs="Arial"/>
      <w:b/>
      <w:i/>
      <w:szCs w:val="24"/>
      <w:lang w:val="en-AU"/>
    </w:rPr>
  </w:style>
  <w:style w:type="character" w:customStyle="1" w:styleId="AHPRAbodyunderlineChar">
    <w:name w:val="AHPRA body underline Char"/>
    <w:basedOn w:val="AHPRAbodyitalicsChar"/>
    <w:rsid w:val="003074C6"/>
    <w:rPr>
      <w:rFonts w:ascii="Arial" w:hAnsi="Arial" w:cs="Arial"/>
      <w:b/>
      <w:i/>
      <w:szCs w:val="24"/>
      <w:u w:val="single"/>
      <w:lang w:val="en-AU"/>
    </w:rPr>
  </w:style>
  <w:style w:type="paragraph" w:styleId="DocumentMap">
    <w:name w:val="Document Map"/>
    <w:basedOn w:val="Normal"/>
    <w:link w:val="DocumentMapChar"/>
    <w:unhideWhenUsed/>
    <w:rsid w:val="003074C6"/>
    <w:pPr>
      <w:spacing w:after="0"/>
    </w:pPr>
    <w:rPr>
      <w:rFonts w:ascii="Tahoma" w:hAnsi="Tahoma" w:cs="Tahoma"/>
      <w:sz w:val="16"/>
      <w:szCs w:val="16"/>
      <w:lang w:val="en-AU"/>
    </w:rPr>
  </w:style>
  <w:style w:type="character" w:customStyle="1" w:styleId="DocumentMapChar">
    <w:name w:val="Document Map Char"/>
    <w:basedOn w:val="DefaultParagraphFont"/>
    <w:link w:val="DocumentMap"/>
    <w:rsid w:val="003074C6"/>
    <w:rPr>
      <w:rFonts w:ascii="Tahoma" w:hAnsi="Tahoma" w:cs="Tahoma"/>
      <w:sz w:val="16"/>
      <w:szCs w:val="16"/>
      <w:lang w:val="en-AU"/>
    </w:rPr>
  </w:style>
  <w:style w:type="character" w:styleId="CommentReference">
    <w:name w:val="annotation reference"/>
    <w:basedOn w:val="DefaultParagraphFont"/>
    <w:uiPriority w:val="99"/>
    <w:unhideWhenUsed/>
    <w:rsid w:val="003074C6"/>
    <w:rPr>
      <w:sz w:val="16"/>
      <w:szCs w:val="16"/>
    </w:rPr>
  </w:style>
  <w:style w:type="paragraph" w:styleId="CommentText">
    <w:name w:val="annotation text"/>
    <w:basedOn w:val="Normal"/>
    <w:link w:val="CommentTextChar"/>
    <w:uiPriority w:val="99"/>
    <w:unhideWhenUsed/>
    <w:rsid w:val="003074C6"/>
    <w:rPr>
      <w:rFonts w:ascii="Arial" w:hAnsi="Arial"/>
      <w:sz w:val="20"/>
      <w:szCs w:val="20"/>
      <w:lang w:val="en-AU"/>
    </w:rPr>
  </w:style>
  <w:style w:type="character" w:customStyle="1" w:styleId="CommentTextChar">
    <w:name w:val="Comment Text Char"/>
    <w:basedOn w:val="DefaultParagraphFont"/>
    <w:link w:val="CommentText"/>
    <w:uiPriority w:val="99"/>
    <w:rsid w:val="003074C6"/>
    <w:rPr>
      <w:rFonts w:ascii="Arial" w:hAnsi="Arial"/>
      <w:lang w:val="en-AU"/>
    </w:rPr>
  </w:style>
  <w:style w:type="paragraph" w:styleId="CommentSubject">
    <w:name w:val="annotation subject"/>
    <w:basedOn w:val="CommentText"/>
    <w:next w:val="CommentText"/>
    <w:link w:val="CommentSubjectChar"/>
    <w:uiPriority w:val="1"/>
    <w:unhideWhenUsed/>
    <w:rsid w:val="003074C6"/>
    <w:rPr>
      <w:b/>
      <w:bCs/>
    </w:rPr>
  </w:style>
  <w:style w:type="character" w:customStyle="1" w:styleId="CommentSubjectChar">
    <w:name w:val="Comment Subject Char"/>
    <w:basedOn w:val="CommentTextChar"/>
    <w:link w:val="CommentSubject"/>
    <w:uiPriority w:val="1"/>
    <w:rsid w:val="003074C6"/>
    <w:rPr>
      <w:rFonts w:ascii="Arial" w:hAnsi="Arial"/>
      <w:b/>
      <w:bCs/>
      <w:lang w:val="en-AU"/>
    </w:rPr>
  </w:style>
  <w:style w:type="character" w:styleId="FollowedHyperlink">
    <w:name w:val="FollowedHyperlink"/>
    <w:basedOn w:val="DefaultParagraphFont"/>
    <w:uiPriority w:val="1"/>
    <w:unhideWhenUsed/>
    <w:rsid w:val="003074C6"/>
    <w:rPr>
      <w:color w:val="800080" w:themeColor="followedHyperlink"/>
      <w:u w:val="single"/>
    </w:rPr>
  </w:style>
  <w:style w:type="paragraph" w:styleId="ListParagraph">
    <w:name w:val="List Paragraph"/>
    <w:basedOn w:val="Normal"/>
    <w:link w:val="ListParagraphChar"/>
    <w:uiPriority w:val="34"/>
    <w:unhideWhenUsed/>
    <w:qFormat/>
    <w:rsid w:val="003074C6"/>
    <w:pPr>
      <w:ind w:left="720"/>
      <w:contextualSpacing/>
    </w:pPr>
    <w:rPr>
      <w:rFonts w:ascii="Arial" w:hAnsi="Arial"/>
      <w:lang w:val="en-AU"/>
    </w:rPr>
  </w:style>
  <w:style w:type="character" w:styleId="Emphasis">
    <w:name w:val="Emphasis"/>
    <w:basedOn w:val="DefaultParagraphFont"/>
    <w:uiPriority w:val="20"/>
    <w:qFormat/>
    <w:rsid w:val="003074C6"/>
    <w:rPr>
      <w:i/>
      <w:iCs/>
    </w:rPr>
  </w:style>
  <w:style w:type="paragraph" w:styleId="EndnoteText">
    <w:name w:val="endnote text"/>
    <w:basedOn w:val="Normal"/>
    <w:link w:val="EndnoteTextChar"/>
    <w:unhideWhenUsed/>
    <w:rsid w:val="003074C6"/>
    <w:pPr>
      <w:spacing w:after="0"/>
    </w:pPr>
    <w:rPr>
      <w:rFonts w:ascii="Arial" w:hAnsi="Arial"/>
      <w:sz w:val="20"/>
      <w:szCs w:val="20"/>
      <w:lang w:val="en-AU"/>
    </w:rPr>
  </w:style>
  <w:style w:type="character" w:customStyle="1" w:styleId="EndnoteTextChar">
    <w:name w:val="Endnote Text Char"/>
    <w:basedOn w:val="DefaultParagraphFont"/>
    <w:link w:val="EndnoteText"/>
    <w:rsid w:val="003074C6"/>
    <w:rPr>
      <w:rFonts w:ascii="Arial" w:hAnsi="Arial"/>
      <w:lang w:val="en-AU"/>
    </w:rPr>
  </w:style>
  <w:style w:type="character" w:styleId="EndnoteReference">
    <w:name w:val="endnote reference"/>
    <w:basedOn w:val="DefaultParagraphFont"/>
    <w:uiPriority w:val="1"/>
    <w:unhideWhenUsed/>
    <w:rsid w:val="003074C6"/>
    <w:rPr>
      <w:vertAlign w:val="superscript"/>
    </w:rPr>
  </w:style>
  <w:style w:type="character" w:customStyle="1" w:styleId="dnindex1">
    <w:name w:val="dnindex1"/>
    <w:basedOn w:val="DefaultParagraphFont"/>
    <w:rsid w:val="003074C6"/>
    <w:rPr>
      <w:b/>
      <w:bCs/>
      <w:vanish w:val="0"/>
      <w:webHidden w:val="0"/>
      <w:color w:val="7B7B7B"/>
      <w:specVanish w:val="0"/>
    </w:rPr>
  </w:style>
  <w:style w:type="paragraph" w:styleId="PlainText">
    <w:name w:val="Plain Text"/>
    <w:basedOn w:val="Normal"/>
    <w:link w:val="PlainTextChar"/>
    <w:uiPriority w:val="99"/>
    <w:unhideWhenUsed/>
    <w:rsid w:val="003074C6"/>
    <w:pPr>
      <w:spacing w:after="0"/>
    </w:pPr>
    <w:rPr>
      <w:rFonts w:ascii="Consolas" w:eastAsia="Calibri" w:hAnsi="Consolas"/>
      <w:sz w:val="21"/>
      <w:szCs w:val="21"/>
      <w:lang w:val="en-AU"/>
    </w:rPr>
  </w:style>
  <w:style w:type="character" w:customStyle="1" w:styleId="PlainTextChar">
    <w:name w:val="Plain Text Char"/>
    <w:basedOn w:val="DefaultParagraphFont"/>
    <w:link w:val="PlainText"/>
    <w:uiPriority w:val="99"/>
    <w:rsid w:val="003074C6"/>
    <w:rPr>
      <w:rFonts w:ascii="Consolas" w:eastAsia="Calibri" w:hAnsi="Consolas"/>
      <w:sz w:val="21"/>
      <w:szCs w:val="21"/>
      <w:lang w:val="en-AU"/>
    </w:rPr>
  </w:style>
  <w:style w:type="paragraph" w:styleId="NoSpacing">
    <w:name w:val="No Spacing"/>
    <w:uiPriority w:val="1"/>
    <w:qFormat/>
    <w:rsid w:val="003074C6"/>
    <w:rPr>
      <w:rFonts w:ascii="Times New Roman" w:eastAsia="Times New Roman" w:hAnsi="Times New Roman"/>
      <w:sz w:val="24"/>
      <w:szCs w:val="24"/>
      <w:lang w:val="en-AU" w:eastAsia="en-AU"/>
    </w:rPr>
  </w:style>
  <w:style w:type="paragraph" w:styleId="Revision">
    <w:name w:val="Revision"/>
    <w:hidden/>
    <w:uiPriority w:val="99"/>
    <w:rsid w:val="003074C6"/>
    <w:rPr>
      <w:rFonts w:ascii="Arial" w:hAnsi="Arial"/>
      <w:sz w:val="24"/>
      <w:szCs w:val="24"/>
      <w:lang w:val="en-AU"/>
    </w:rPr>
  </w:style>
  <w:style w:type="paragraph" w:customStyle="1" w:styleId="Default">
    <w:name w:val="Default"/>
    <w:rsid w:val="003074C6"/>
    <w:pPr>
      <w:autoSpaceDE w:val="0"/>
      <w:autoSpaceDN w:val="0"/>
      <w:adjustRightInd w:val="0"/>
    </w:pPr>
    <w:rPr>
      <w:rFonts w:ascii="Arial" w:hAnsi="Arial" w:cs="Arial"/>
      <w:color w:val="000000"/>
      <w:sz w:val="24"/>
      <w:szCs w:val="24"/>
      <w:lang w:val="en-AU"/>
    </w:rPr>
  </w:style>
  <w:style w:type="paragraph" w:styleId="NormalWeb">
    <w:name w:val="Normal (Web)"/>
    <w:basedOn w:val="Normal"/>
    <w:uiPriority w:val="99"/>
    <w:unhideWhenUsed/>
    <w:rsid w:val="003074C6"/>
    <w:pPr>
      <w:spacing w:after="240" w:line="336" w:lineRule="atLeast"/>
    </w:pPr>
    <w:rPr>
      <w:rFonts w:ascii="Times New Roman" w:eastAsia="Times New Roman" w:hAnsi="Times New Roman"/>
      <w:color w:val="000000"/>
      <w:sz w:val="26"/>
      <w:szCs w:val="26"/>
      <w:lang w:val="en-AU" w:eastAsia="en-AU"/>
    </w:rPr>
  </w:style>
  <w:style w:type="paragraph" w:customStyle="1" w:styleId="AHPRASubhead">
    <w:name w:val="AHPRA Subhead"/>
    <w:basedOn w:val="Normal"/>
    <w:qFormat/>
    <w:rsid w:val="005268FB"/>
    <w:rPr>
      <w:rFonts w:ascii="Arial" w:hAnsi="Arial"/>
      <w:b/>
      <w:color w:val="008EC4"/>
      <w:sz w:val="20"/>
    </w:rPr>
  </w:style>
  <w:style w:type="character" w:customStyle="1" w:styleId="ListParagraphChar">
    <w:name w:val="List Paragraph Char"/>
    <w:link w:val="ListParagraph"/>
    <w:uiPriority w:val="34"/>
    <w:locked/>
    <w:rsid w:val="005268FB"/>
    <w:rPr>
      <w:rFonts w:ascii="Arial" w:hAnsi="Arial"/>
      <w:sz w:val="24"/>
      <w:szCs w:val="24"/>
      <w:lang w:val="en-AU"/>
    </w:rPr>
  </w:style>
  <w:style w:type="character" w:customStyle="1" w:styleId="definition">
    <w:name w:val="definition"/>
    <w:basedOn w:val="DefaultParagraphFont"/>
    <w:rsid w:val="00627CBB"/>
  </w:style>
  <w:style w:type="table" w:customStyle="1" w:styleId="MediumShading2-Accent11">
    <w:name w:val="Medium Shading 2 - Accent 11"/>
    <w:basedOn w:val="TableNormal"/>
    <w:uiPriority w:val="64"/>
    <w:rsid w:val="008F2CA7"/>
    <w:rPr>
      <w:rFonts w:asciiTheme="minorHAnsi" w:eastAsiaTheme="minorHAnsi" w:hAnsiTheme="minorHAnsi" w:cstheme="minorBidi"/>
      <w:sz w:val="22"/>
      <w:szCs w:val="22"/>
      <w:lang w:val="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4Char">
    <w:name w:val="Heading 4 Char"/>
    <w:basedOn w:val="DefaultParagraphFont"/>
    <w:link w:val="Heading4"/>
    <w:uiPriority w:val="9"/>
    <w:rsid w:val="003A5018"/>
    <w:rPr>
      <w:rFonts w:ascii="Times New Roman" w:eastAsia="Times New Roman" w:hAnsi="Times New Roman"/>
      <w:b/>
      <w:i/>
      <w:spacing w:val="-3"/>
      <w:sz w:val="24"/>
      <w:lang w:val="en-AU"/>
    </w:rPr>
  </w:style>
  <w:style w:type="character" w:customStyle="1" w:styleId="Heading5Char">
    <w:name w:val="Heading 5 Char"/>
    <w:basedOn w:val="DefaultParagraphFont"/>
    <w:link w:val="Heading5"/>
    <w:rsid w:val="003A5018"/>
    <w:rPr>
      <w:rFonts w:ascii="Times New Roman" w:eastAsia="Times New Roman" w:hAnsi="Times New Roman"/>
      <w:b/>
      <w:sz w:val="22"/>
      <w:lang w:val="en-AU"/>
    </w:rPr>
  </w:style>
  <w:style w:type="character" w:customStyle="1" w:styleId="Heading6Char">
    <w:name w:val="Heading 6 Char"/>
    <w:basedOn w:val="DefaultParagraphFont"/>
    <w:link w:val="Heading6"/>
    <w:rsid w:val="003A5018"/>
    <w:rPr>
      <w:rFonts w:ascii="Times New Roman" w:eastAsia="Times New Roman" w:hAnsi="Times New Roman"/>
      <w:b/>
      <w:spacing w:val="-3"/>
      <w:sz w:val="29"/>
      <w:lang w:val="en-AU"/>
    </w:rPr>
  </w:style>
  <w:style w:type="character" w:customStyle="1" w:styleId="Heading7Char">
    <w:name w:val="Heading 7 Char"/>
    <w:basedOn w:val="DefaultParagraphFont"/>
    <w:link w:val="Heading7"/>
    <w:rsid w:val="003A5018"/>
    <w:rPr>
      <w:rFonts w:ascii="Times New Roman" w:eastAsia="Times New Roman" w:hAnsi="Times New Roman"/>
      <w:b/>
      <w:sz w:val="29"/>
      <w:lang w:val="en-AU"/>
    </w:rPr>
  </w:style>
  <w:style w:type="paragraph" w:styleId="BodyText">
    <w:name w:val="Body Text"/>
    <w:basedOn w:val="Normal"/>
    <w:link w:val="BodyTextChar"/>
    <w:rsid w:val="003A5018"/>
    <w:pPr>
      <w:widowControl w:val="0"/>
      <w:tabs>
        <w:tab w:val="left" w:pos="-720"/>
      </w:tabs>
      <w:suppressAutoHyphens/>
      <w:spacing w:after="160" w:line="280" w:lineRule="exact"/>
    </w:pPr>
    <w:rPr>
      <w:rFonts w:ascii="Times New Roman" w:eastAsia="Times New Roman" w:hAnsi="Times New Roman"/>
      <w:snapToGrid w:val="0"/>
      <w:spacing w:val="-3"/>
      <w:szCs w:val="20"/>
      <w:lang w:val="en-AU"/>
    </w:rPr>
  </w:style>
  <w:style w:type="character" w:customStyle="1" w:styleId="BodyTextChar">
    <w:name w:val="Body Text Char"/>
    <w:basedOn w:val="DefaultParagraphFont"/>
    <w:link w:val="BodyText"/>
    <w:rsid w:val="003A5018"/>
    <w:rPr>
      <w:rFonts w:ascii="Times New Roman" w:eastAsia="Times New Roman" w:hAnsi="Times New Roman"/>
      <w:snapToGrid w:val="0"/>
      <w:spacing w:val="-3"/>
      <w:sz w:val="24"/>
      <w:lang w:val="en-AU"/>
    </w:rPr>
  </w:style>
  <w:style w:type="paragraph" w:customStyle="1" w:styleId="AIKLtext">
    <w:name w:val="AIKL text"/>
    <w:basedOn w:val="Normal"/>
    <w:rsid w:val="003A5018"/>
    <w:pPr>
      <w:spacing w:after="120"/>
    </w:pPr>
    <w:rPr>
      <w:rFonts w:ascii="Garamond" w:eastAsia="Times New Roman" w:hAnsi="Garamond"/>
      <w:sz w:val="22"/>
      <w:szCs w:val="20"/>
      <w:lang w:val="en-AU"/>
    </w:rPr>
  </w:style>
  <w:style w:type="paragraph" w:customStyle="1" w:styleId="AIKLquote">
    <w:name w:val="AIKL quote"/>
    <w:basedOn w:val="AIKLtext"/>
    <w:rsid w:val="003A5018"/>
    <w:pPr>
      <w:ind w:left="567" w:right="567"/>
      <w:jc w:val="both"/>
    </w:pPr>
    <w:rPr>
      <w:sz w:val="19"/>
      <w:lang w:val="en-US"/>
    </w:rPr>
  </w:style>
  <w:style w:type="paragraph" w:customStyle="1" w:styleId="AIKLbulletslevel1">
    <w:name w:val="AIKL bullets level 1"/>
    <w:basedOn w:val="AIKLtext"/>
    <w:rsid w:val="003A5018"/>
    <w:pPr>
      <w:numPr>
        <w:numId w:val="16"/>
      </w:numPr>
    </w:pPr>
    <w:rPr>
      <w:lang w:val="en-US"/>
    </w:rPr>
  </w:style>
  <w:style w:type="paragraph" w:customStyle="1" w:styleId="Headingspecial4">
    <w:name w:val="Heading special 4"/>
    <w:rsid w:val="003A5018"/>
    <w:rPr>
      <w:rFonts w:ascii="Arial" w:eastAsia="Times New Roman" w:hAnsi="Arial"/>
      <w:noProof/>
      <w:sz w:val="24"/>
    </w:rPr>
  </w:style>
  <w:style w:type="paragraph" w:styleId="BlockText">
    <w:name w:val="Block Text"/>
    <w:basedOn w:val="Normal"/>
    <w:rsid w:val="003A5018"/>
    <w:pPr>
      <w:widowControl w:val="0"/>
      <w:tabs>
        <w:tab w:val="center" w:pos="4513"/>
      </w:tabs>
      <w:suppressAutoHyphens/>
      <w:spacing w:after="0"/>
      <w:ind w:left="1134" w:right="1700"/>
    </w:pPr>
    <w:rPr>
      <w:rFonts w:ascii="Times New Roman" w:eastAsia="Times New Roman" w:hAnsi="Times New Roman"/>
      <w:b/>
      <w:i/>
      <w:snapToGrid w:val="0"/>
      <w:spacing w:val="-3"/>
      <w:szCs w:val="20"/>
      <w:lang w:val="en-AU"/>
    </w:rPr>
  </w:style>
  <w:style w:type="character" w:styleId="LineNumber">
    <w:name w:val="line number"/>
    <w:basedOn w:val="DefaultParagraphFont"/>
    <w:rsid w:val="003A5018"/>
  </w:style>
  <w:style w:type="character" w:styleId="PageNumber">
    <w:name w:val="page number"/>
    <w:basedOn w:val="DefaultParagraphFont"/>
    <w:rsid w:val="003A5018"/>
  </w:style>
  <w:style w:type="paragraph" w:customStyle="1" w:styleId="BodyText-roundbullets">
    <w:name w:val="Body Text - round bullets"/>
    <w:basedOn w:val="BodyText"/>
    <w:rsid w:val="003A5018"/>
    <w:pPr>
      <w:numPr>
        <w:numId w:val="17"/>
      </w:numPr>
    </w:pPr>
  </w:style>
  <w:style w:type="paragraph" w:customStyle="1" w:styleId="BodyText1">
    <w:name w:val="Body Text 1"/>
    <w:basedOn w:val="BodyText"/>
    <w:rsid w:val="003A5018"/>
    <w:pPr>
      <w:widowControl/>
      <w:tabs>
        <w:tab w:val="clear" w:pos="-720"/>
      </w:tabs>
      <w:suppressAutoHyphens w:val="0"/>
      <w:spacing w:after="120" w:line="240" w:lineRule="auto"/>
    </w:pPr>
    <w:rPr>
      <w:snapToGrid/>
      <w:spacing w:val="0"/>
      <w:sz w:val="20"/>
    </w:rPr>
  </w:style>
  <w:style w:type="paragraph" w:styleId="Caption">
    <w:name w:val="caption"/>
    <w:basedOn w:val="Normal"/>
    <w:next w:val="Normal"/>
    <w:qFormat/>
    <w:rsid w:val="003A5018"/>
    <w:pPr>
      <w:spacing w:before="120" w:after="120"/>
    </w:pPr>
    <w:rPr>
      <w:rFonts w:ascii="Times New Roman" w:eastAsia="Times New Roman" w:hAnsi="Times New Roman"/>
      <w:b/>
      <w:sz w:val="20"/>
      <w:szCs w:val="20"/>
      <w:lang w:val="en-AU"/>
    </w:rPr>
  </w:style>
  <w:style w:type="paragraph" w:styleId="BodyTextIndent">
    <w:name w:val="Body Text Indent"/>
    <w:basedOn w:val="Normal"/>
    <w:link w:val="BodyTextIndentChar"/>
    <w:rsid w:val="003A5018"/>
    <w:pPr>
      <w:spacing w:after="120"/>
      <w:ind w:left="283"/>
    </w:pPr>
    <w:rPr>
      <w:rFonts w:ascii="Times New Roman" w:eastAsia="Times New Roman" w:hAnsi="Times New Roman"/>
      <w:sz w:val="20"/>
      <w:szCs w:val="20"/>
      <w:lang w:val="en-AU"/>
    </w:rPr>
  </w:style>
  <w:style w:type="character" w:customStyle="1" w:styleId="BodyTextIndentChar">
    <w:name w:val="Body Text Indent Char"/>
    <w:basedOn w:val="DefaultParagraphFont"/>
    <w:link w:val="BodyTextIndent"/>
    <w:rsid w:val="003A5018"/>
    <w:rPr>
      <w:rFonts w:ascii="Times New Roman" w:eastAsia="Times New Roman" w:hAnsi="Times New Roman"/>
      <w:lang w:val="en-AU"/>
    </w:rPr>
  </w:style>
  <w:style w:type="paragraph" w:styleId="Title">
    <w:name w:val="Title"/>
    <w:basedOn w:val="Normal"/>
    <w:link w:val="TitleChar"/>
    <w:qFormat/>
    <w:rsid w:val="003A5018"/>
    <w:pPr>
      <w:widowControl w:val="0"/>
      <w:spacing w:after="0"/>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3A5018"/>
    <w:rPr>
      <w:rFonts w:ascii="Times New Roman" w:eastAsia="Times New Roman" w:hAnsi="Times New Roman"/>
      <w:b/>
      <w:lang w:val="en-AU"/>
    </w:rPr>
  </w:style>
  <w:style w:type="paragraph" w:customStyle="1" w:styleId="ROV1">
    <w:name w:val="ROV1"/>
    <w:basedOn w:val="Normal"/>
    <w:rsid w:val="003A5018"/>
    <w:pPr>
      <w:numPr>
        <w:numId w:val="18"/>
      </w:numPr>
      <w:spacing w:after="240"/>
    </w:pPr>
    <w:rPr>
      <w:rFonts w:ascii="Times New Roman" w:eastAsia="Times New Roman" w:hAnsi="Times New Roman"/>
      <w:sz w:val="20"/>
      <w:szCs w:val="20"/>
      <w:lang w:val="en-AU"/>
    </w:rPr>
  </w:style>
  <w:style w:type="paragraph" w:customStyle="1" w:styleId="StyleHeading3Left">
    <w:name w:val="Style Heading 3 + Left"/>
    <w:basedOn w:val="Heading3"/>
    <w:rsid w:val="003A5018"/>
    <w:pPr>
      <w:widowControl w:val="0"/>
      <w:suppressAutoHyphens/>
      <w:spacing w:before="0" w:after="240"/>
    </w:pPr>
    <w:rPr>
      <w:rFonts w:ascii="Times New Roman" w:eastAsia="Times New Roman" w:hAnsi="Times New Roman" w:cs="Times New Roman"/>
      <w:snapToGrid w:val="0"/>
      <w:sz w:val="22"/>
      <w:szCs w:val="22"/>
      <w:lang w:val="en-AU"/>
    </w:rPr>
  </w:style>
  <w:style w:type="paragraph" w:customStyle="1" w:styleId="StyleHeading3LeftBefore0pt">
    <w:name w:val="Style Heading 3 + Left Before:  0 pt"/>
    <w:basedOn w:val="Heading3"/>
    <w:rsid w:val="003A5018"/>
    <w:pPr>
      <w:widowControl w:val="0"/>
      <w:suppressAutoHyphens/>
      <w:spacing w:before="0" w:after="240"/>
    </w:pPr>
    <w:rPr>
      <w:rFonts w:ascii="Times New Roman" w:eastAsia="Times New Roman" w:hAnsi="Times New Roman" w:cs="Times New Roman"/>
      <w:snapToGrid w:val="0"/>
      <w:sz w:val="22"/>
      <w:szCs w:val="22"/>
      <w:lang w:val="en-AU"/>
    </w:rPr>
  </w:style>
  <w:style w:type="paragraph" w:customStyle="1" w:styleId="StyleHeading4Before6pt">
    <w:name w:val="Style Heading 4 + Before:  6 pt"/>
    <w:basedOn w:val="Heading4"/>
    <w:rsid w:val="003A5018"/>
    <w:pPr>
      <w:spacing w:before="120"/>
    </w:pPr>
    <w:rPr>
      <w:bCs/>
      <w:iCs/>
      <w:sz w:val="22"/>
    </w:rPr>
  </w:style>
  <w:style w:type="paragraph" w:customStyle="1" w:styleId="StyleHeading3CenteredBefore0ptAfter12pt">
    <w:name w:val="Style Heading 3 + Centered Before:  0 pt After:  12 pt"/>
    <w:basedOn w:val="Heading3"/>
    <w:rsid w:val="003A5018"/>
    <w:pPr>
      <w:widowControl w:val="0"/>
      <w:suppressAutoHyphens/>
      <w:spacing w:before="0" w:after="240"/>
      <w:jc w:val="center"/>
    </w:pPr>
    <w:rPr>
      <w:rFonts w:ascii="Times New Roman" w:eastAsia="Times New Roman" w:hAnsi="Times New Roman" w:cs="Times New Roman"/>
      <w:snapToGrid w:val="0"/>
      <w:sz w:val="22"/>
      <w:szCs w:val="22"/>
      <w:lang w:val="en-AU"/>
    </w:rPr>
  </w:style>
  <w:style w:type="paragraph" w:customStyle="1" w:styleId="StyleHeading3CenteredAfter12pt">
    <w:name w:val="Style Heading 3 + Centered After:  12 pt"/>
    <w:basedOn w:val="Heading3"/>
    <w:rsid w:val="003A5018"/>
    <w:pPr>
      <w:widowControl w:val="0"/>
      <w:suppressAutoHyphens/>
      <w:spacing w:before="0" w:after="240"/>
      <w:jc w:val="center"/>
    </w:pPr>
    <w:rPr>
      <w:rFonts w:ascii="Times New Roman" w:eastAsia="Times New Roman" w:hAnsi="Times New Roman" w:cs="Times New Roman"/>
      <w:snapToGrid w:val="0"/>
      <w:sz w:val="22"/>
      <w:szCs w:val="22"/>
      <w:lang w:val="en-AU"/>
    </w:rPr>
  </w:style>
  <w:style w:type="paragraph" w:customStyle="1" w:styleId="ParagraphCharChar">
    <w:name w:val="Paragraph Char Char"/>
    <w:basedOn w:val="Normal"/>
    <w:link w:val="ParagraphCharCharChar"/>
    <w:rsid w:val="003A5018"/>
    <w:pPr>
      <w:spacing w:before="240" w:after="0"/>
      <w:jc w:val="both"/>
    </w:pPr>
    <w:rPr>
      <w:rFonts w:ascii="Arial" w:eastAsia="Times New Roman" w:hAnsi="Arial"/>
      <w:szCs w:val="20"/>
      <w:lang w:val="en-AU"/>
    </w:rPr>
  </w:style>
  <w:style w:type="character" w:customStyle="1" w:styleId="ParagraphCharCharChar">
    <w:name w:val="Paragraph Char Char Char"/>
    <w:basedOn w:val="DefaultParagraphFont"/>
    <w:link w:val="ParagraphCharChar"/>
    <w:locked/>
    <w:rsid w:val="003A5018"/>
    <w:rPr>
      <w:rFonts w:ascii="Arial" w:eastAsia="Times New Roman" w:hAnsi="Arial"/>
      <w:sz w:val="24"/>
      <w:lang w:val="en-AU"/>
    </w:rPr>
  </w:style>
  <w:style w:type="paragraph" w:customStyle="1" w:styleId="Attendance2list">
    <w:name w:val="Attendance 2 list"/>
    <w:basedOn w:val="Normal"/>
    <w:rsid w:val="003A5018"/>
    <w:pPr>
      <w:tabs>
        <w:tab w:val="left" w:pos="2552"/>
      </w:tabs>
      <w:spacing w:after="0"/>
      <w:ind w:left="2977" w:hanging="425"/>
    </w:pPr>
    <w:rPr>
      <w:rFonts w:ascii="Arial" w:eastAsia="Times New Roman" w:hAnsi="Arial"/>
      <w:szCs w:val="20"/>
      <w:lang w:val="en-AU"/>
    </w:rPr>
  </w:style>
  <w:style w:type="character" w:customStyle="1" w:styleId="DateChar">
    <w:name w:val="Date Char"/>
    <w:basedOn w:val="DefaultParagraphFont"/>
    <w:link w:val="Date"/>
    <w:uiPriority w:val="99"/>
    <w:rsid w:val="003A5018"/>
    <w:rPr>
      <w:rFonts w:ascii="Times New Roman" w:eastAsia="Times New Roman" w:hAnsi="Times New Roman"/>
    </w:rPr>
  </w:style>
  <w:style w:type="paragraph" w:styleId="Date">
    <w:name w:val="Date"/>
    <w:basedOn w:val="Normal"/>
    <w:next w:val="Normal"/>
    <w:link w:val="DateChar"/>
    <w:uiPriority w:val="99"/>
    <w:unhideWhenUsed/>
    <w:rsid w:val="003A5018"/>
    <w:pPr>
      <w:spacing w:after="0"/>
    </w:pPr>
    <w:rPr>
      <w:rFonts w:ascii="Times New Roman" w:eastAsia="Times New Roman" w:hAnsi="Times New Roman"/>
      <w:sz w:val="20"/>
      <w:szCs w:val="20"/>
    </w:rPr>
  </w:style>
  <w:style w:type="character" w:customStyle="1" w:styleId="DateChar1">
    <w:name w:val="Date Char1"/>
    <w:basedOn w:val="DefaultParagraphFont"/>
    <w:rsid w:val="003A5018"/>
    <w:rPr>
      <w:sz w:val="24"/>
      <w:szCs w:val="24"/>
    </w:rPr>
  </w:style>
  <w:style w:type="paragraph" w:styleId="TOC5">
    <w:name w:val="toc 5"/>
    <w:basedOn w:val="Normal"/>
    <w:next w:val="Normal"/>
    <w:autoRedefine/>
    <w:rsid w:val="003A5018"/>
    <w:pPr>
      <w:spacing w:after="0"/>
      <w:ind w:left="800"/>
    </w:pPr>
    <w:rPr>
      <w:rFonts w:ascii="Times New Roman" w:eastAsia="Times New Roman" w:hAnsi="Times New Roman"/>
      <w:sz w:val="18"/>
      <w:szCs w:val="20"/>
      <w:lang w:val="en-AU"/>
    </w:rPr>
  </w:style>
  <w:style w:type="paragraph" w:customStyle="1" w:styleId="Numberedlistlevel2">
    <w:name w:val="Numbered list level 2"/>
    <w:basedOn w:val="Numberedlistlevel1"/>
    <w:rsid w:val="002F7CA0"/>
    <w:pPr>
      <w:ind w:left="737" w:hanging="368"/>
    </w:pPr>
  </w:style>
  <w:style w:type="paragraph" w:customStyle="1" w:styleId="Numberedlistlevel1">
    <w:name w:val="Numbered list level 1"/>
    <w:rsid w:val="002F7CA0"/>
    <w:pPr>
      <w:ind w:left="369" w:hanging="369"/>
    </w:pPr>
    <w:rPr>
      <w:rFonts w:ascii="Arial" w:hAnsi="Arial"/>
      <w:szCs w:val="24"/>
    </w:rPr>
  </w:style>
  <w:style w:type="paragraph" w:customStyle="1" w:styleId="Numberedlistlevel3">
    <w:name w:val="Numbered list level 3"/>
    <w:basedOn w:val="Numberedlistlevel1"/>
    <w:rsid w:val="002F7CA0"/>
    <w:pPr>
      <w:ind w:left="1276" w:hanging="539"/>
    </w:pPr>
  </w:style>
  <w:style w:type="paragraph" w:customStyle="1" w:styleId="Heading3non-numbered">
    <w:name w:val="Heading 3 non-numbered"/>
    <w:basedOn w:val="Heading3"/>
    <w:next w:val="BodyText"/>
    <w:qFormat/>
    <w:rsid w:val="002F7CA0"/>
    <w:pPr>
      <w:keepNext w:val="0"/>
      <w:spacing w:before="200" w:after="200"/>
    </w:pPr>
    <w:rPr>
      <w:rFonts w:ascii="Arial" w:eastAsia="Cambria" w:hAnsi="Arial" w:cs="Times New Roman"/>
      <w:b w:val="0"/>
      <w:bCs w:val="0"/>
      <w:color w:val="007DC3"/>
      <w:sz w:val="20"/>
      <w:szCs w:val="24"/>
    </w:rPr>
  </w:style>
  <w:style w:type="paragraph" w:customStyle="1" w:styleId="para">
    <w:name w:val="para"/>
    <w:uiPriority w:val="1"/>
    <w:qFormat/>
    <w:rsid w:val="00990768"/>
    <w:pPr>
      <w:spacing w:after="240"/>
      <w:ind w:left="425"/>
    </w:pPr>
    <w:rPr>
      <w:rFonts w:ascii="Arial" w:eastAsia="Calibri" w:hAnsi="Arial"/>
      <w:szCs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psa.org.au/supporting-practice/national-competency-standard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82866-30DD-4C7D-BDBC-7FB6E0B72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20059</Words>
  <Characters>114341</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134132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practice profile for pharmacists undertaking complex compounding</dc:title>
  <dc:subject>Professional practice profile</dc:subject>
  <dc:creator>Pharmacy Board</dc:creator>
  <dc:description/>
  <cp:lastModifiedBy>Tara Johnson</cp:lastModifiedBy>
  <cp:revision>2</cp:revision>
  <cp:lastPrinted>2014-09-26T01:15:00Z</cp:lastPrinted>
  <dcterms:created xsi:type="dcterms:W3CDTF">2015-02-27T02:51:00Z</dcterms:created>
  <dcterms:modified xsi:type="dcterms:W3CDTF">2015-02-27T02:51:00Z</dcterms:modified>
</cp:coreProperties>
</file>