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17" w:rsidRPr="00C3795C" w:rsidRDefault="006D78EF" w:rsidP="00DE3417">
      <w:pPr>
        <w:pStyle w:val="AHPRADocumenttitle"/>
      </w:pPr>
      <w:r>
        <w:rPr>
          <w:noProof/>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7" type="#_x0000_t34" style="position:absolute;margin-left:-132.45pt;margin-top:36.45pt;width:40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vq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" adj=",-78494400,2175"/>
        </w:pict>
      </w:r>
      <w:bookmarkStart w:id="0" w:name="_Toc316635487"/>
      <w:r w:rsidR="00DE3417">
        <w:t>Guidelines on practice-specific issues</w:t>
      </w:r>
      <w:bookmarkEnd w:id="0"/>
    </w:p>
    <w:p w:rsidR="00DE3417" w:rsidRDefault="00DE3417" w:rsidP="00DE3417">
      <w:pPr>
        <w:pStyle w:val="TOCHeading"/>
      </w:pPr>
      <w:r>
        <w:t>Contents</w:t>
      </w:r>
      <w:bookmarkStart w:id="1" w:name="_GoBack"/>
      <w:bookmarkEnd w:id="1"/>
    </w:p>
    <w:p w:rsidR="00DE3417" w:rsidRDefault="009B5EBC" w:rsidP="00DE3417">
      <w:pPr>
        <w:pStyle w:val="TOC1"/>
      </w:pPr>
      <w:r>
        <w:fldChar w:fldCharType="begin"/>
      </w:r>
      <w:r w:rsidR="00DE3417">
        <w:instrText xml:space="preserve"> TOC \o "2-3" \t "Heading 1,1,AHPRA Subheading,1,AHPRA Subheading level 2,2,AHPRA Subheading level 3,3,AHPRA Numbered subheading level 1,1,AHPRA Numbered subheading level 2,2,AHPRA Numbered subheading level 3,3" </w:instrText>
      </w:r>
      <w:r>
        <w:fldChar w:fldCharType="separate"/>
      </w:r>
      <w:r w:rsidR="00DE3417">
        <w:t>Introduction</w:t>
      </w:r>
      <w:r w:rsidR="00DE3417">
        <w:tab/>
      </w:r>
      <w:r>
        <w:fldChar w:fldCharType="begin"/>
      </w:r>
      <w:r w:rsidR="00DE3417">
        <w:instrText xml:space="preserve"> PAGEREF _Toc316997876 \h </w:instrText>
      </w:r>
      <w:r>
        <w:fldChar w:fldCharType="separate"/>
      </w:r>
      <w:r w:rsidR="00DE3417">
        <w:t>2</w:t>
      </w:r>
      <w:r>
        <w:fldChar w:fldCharType="end"/>
      </w:r>
    </w:p>
    <w:p w:rsidR="00DE3417" w:rsidRDefault="00DE3417" w:rsidP="00DE3417">
      <w:pPr>
        <w:pStyle w:val="TOC1"/>
      </w:pPr>
      <w:r>
        <w:t>Who needs to use these guidelines?</w:t>
      </w:r>
      <w:r>
        <w:tab/>
      </w:r>
      <w:r w:rsidR="009B5EBC">
        <w:fldChar w:fldCharType="begin"/>
      </w:r>
      <w:r>
        <w:instrText xml:space="preserve"> PAGEREF _Toc316997876 \h </w:instrText>
      </w:r>
      <w:r w:rsidR="009B5EBC">
        <w:fldChar w:fldCharType="separate"/>
      </w:r>
      <w:r>
        <w:t>2</w:t>
      </w:r>
      <w:r w:rsidR="009B5EBC">
        <w:fldChar w:fldCharType="end"/>
      </w:r>
    </w:p>
    <w:p w:rsidR="00DE3417" w:rsidRDefault="00DE3417" w:rsidP="00DE3417">
      <w:pPr>
        <w:pStyle w:val="TOC1"/>
      </w:pPr>
      <w:r>
        <w:t>What happens if I do not comply with these guidelines?</w:t>
      </w:r>
      <w:r>
        <w:tab/>
      </w:r>
      <w:r w:rsidR="009B5EBC">
        <w:fldChar w:fldCharType="begin"/>
      </w:r>
      <w:r>
        <w:instrText xml:space="preserve"> PAGEREF _Toc316997876 \h </w:instrText>
      </w:r>
      <w:r w:rsidR="009B5EBC">
        <w:fldChar w:fldCharType="separate"/>
      </w:r>
      <w:r>
        <w:t>2</w:t>
      </w:r>
      <w:r w:rsidR="009B5EBC">
        <w:fldChar w:fldCharType="end"/>
      </w:r>
    </w:p>
    <w:p w:rsidR="00DE3417" w:rsidRDefault="00DE3417" w:rsidP="00DE3417">
      <w:pPr>
        <w:pStyle w:val="TOC1"/>
      </w:pPr>
      <w:r>
        <w:t>Summary of guidelines</w:t>
      </w:r>
      <w:r>
        <w:tab/>
      </w:r>
      <w:r w:rsidR="009B5EBC">
        <w:fldChar w:fldCharType="begin"/>
      </w:r>
      <w:r>
        <w:instrText xml:space="preserve"> PAGEREF _Toc316997876 \h </w:instrText>
      </w:r>
      <w:r w:rsidR="009B5EBC">
        <w:fldChar w:fldCharType="separate"/>
      </w:r>
      <w:r>
        <w:t>2</w:t>
      </w:r>
      <w:r w:rsidR="009B5EBC">
        <w:fldChar w:fldCharType="end"/>
      </w:r>
    </w:p>
    <w:p w:rsidR="00DE3417" w:rsidRDefault="00DE3417" w:rsidP="00DE3417">
      <w:pPr>
        <w:pStyle w:val="TOC1"/>
      </w:pPr>
      <w:r>
        <w:t>Guidelines</w:t>
      </w:r>
      <w:r>
        <w:tab/>
      </w:r>
      <w:r w:rsidR="00B65D31">
        <w:t>3</w:t>
      </w:r>
    </w:p>
    <w:p w:rsidR="00DE3417" w:rsidRDefault="00DE3417" w:rsidP="00DE3417">
      <w:pPr>
        <w:pStyle w:val="TOC2"/>
        <w:tabs>
          <w:tab w:val="right" w:leader="dot" w:pos="9488"/>
        </w:tabs>
        <w:rPr>
          <w:noProof/>
        </w:rPr>
      </w:pPr>
      <w:r>
        <w:rPr>
          <w:noProof/>
        </w:rPr>
        <w:t>1 Reference texts for pharmacists</w:t>
      </w:r>
      <w:r>
        <w:rPr>
          <w:noProof/>
        </w:rPr>
        <w:tab/>
      </w:r>
      <w:r w:rsidR="00B65D31">
        <w:rPr>
          <w:noProof/>
        </w:rPr>
        <w:t>3</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2 Drugs of abuse</w:t>
      </w:r>
      <w:r>
        <w:rPr>
          <w:noProof/>
        </w:rPr>
        <w:tab/>
      </w:r>
      <w:r w:rsidR="00B65D31">
        <w:rPr>
          <w:noProof/>
        </w:rPr>
        <w:t>3</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3 Pseudoephedrine</w:t>
      </w:r>
      <w:r>
        <w:rPr>
          <w:noProof/>
        </w:rPr>
        <w:tab/>
      </w:r>
      <w:r w:rsidR="00B65D31">
        <w:rPr>
          <w:noProof/>
        </w:rPr>
        <w:t>4</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4 Supply of Schedule 2 poisons (Pharmacy Medicines) and Schedule 3 poisons (Pharmacist Only Medicines)</w:t>
      </w:r>
      <w:r>
        <w:rPr>
          <w:noProof/>
        </w:rPr>
        <w:tab/>
      </w:r>
      <w:r w:rsidR="00B65D31">
        <w:rPr>
          <w:noProof/>
        </w:rPr>
        <w:t>4</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5 Complementary and alternative medicines</w:t>
      </w:r>
      <w:r>
        <w:rPr>
          <w:noProof/>
        </w:rPr>
        <w:tab/>
      </w:r>
      <w:r w:rsidR="00B65D31">
        <w:rPr>
          <w:noProof/>
        </w:rPr>
        <w:t>5</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6 Allied health, and complementary and alternative therapy when practised by other persons in the pharmacy</w:t>
      </w:r>
      <w:r>
        <w:rPr>
          <w:noProof/>
        </w:rPr>
        <w:tab/>
      </w:r>
      <w:r w:rsidR="00B65D31">
        <w:rPr>
          <w:noProof/>
        </w:rPr>
        <w:t>5</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7 Screening and risk assessment</w:t>
      </w:r>
      <w:r>
        <w:rPr>
          <w:noProof/>
        </w:rPr>
        <w:tab/>
      </w:r>
      <w:r w:rsidR="00B65D31">
        <w:rPr>
          <w:noProof/>
        </w:rPr>
        <w:t>6</w:t>
      </w:r>
    </w:p>
    <w:p w:rsidR="00DE3417" w:rsidRDefault="00DE3417" w:rsidP="00DE3417">
      <w:pPr>
        <w:pStyle w:val="TOC2"/>
        <w:tabs>
          <w:tab w:val="right" w:leader="dot" w:pos="9488"/>
        </w:tabs>
        <w:rPr>
          <w:rFonts w:asciiTheme="minorHAnsi" w:eastAsiaTheme="minorEastAsia" w:hAnsiTheme="minorHAnsi" w:cstheme="minorBidi"/>
          <w:b/>
          <w:noProof/>
          <w:sz w:val="22"/>
          <w:szCs w:val="22"/>
        </w:rPr>
      </w:pPr>
      <w:r>
        <w:rPr>
          <w:noProof/>
        </w:rPr>
        <w:t>8 Raw materials not approved for human use in medicines</w:t>
      </w:r>
      <w:r>
        <w:rPr>
          <w:noProof/>
        </w:rPr>
        <w:tab/>
      </w:r>
      <w:r w:rsidR="00B65D31">
        <w:rPr>
          <w:noProof/>
        </w:rPr>
        <w:t>6</w:t>
      </w:r>
    </w:p>
    <w:p w:rsidR="00DE3417" w:rsidRDefault="00DE3417" w:rsidP="00DE3417">
      <w:pPr>
        <w:pStyle w:val="TOC2"/>
        <w:tabs>
          <w:tab w:val="right" w:leader="dot" w:pos="9488"/>
        </w:tabs>
        <w:rPr>
          <w:noProof/>
        </w:rPr>
      </w:pPr>
      <w:r>
        <w:rPr>
          <w:noProof/>
        </w:rPr>
        <w:t>9 Supply of tobacco and alcohol products</w:t>
      </w:r>
      <w:r>
        <w:rPr>
          <w:noProof/>
        </w:rPr>
        <w:tab/>
      </w:r>
      <w:r w:rsidR="00B65D31">
        <w:rPr>
          <w:noProof/>
        </w:rPr>
        <w:t>6</w:t>
      </w:r>
    </w:p>
    <w:p w:rsidR="00797945" w:rsidRDefault="00797945" w:rsidP="00797945">
      <w:pPr>
        <w:pStyle w:val="TOC1"/>
      </w:pPr>
      <w:r>
        <w:t>Definitions</w:t>
      </w:r>
      <w:r>
        <w:tab/>
      </w:r>
      <w:r w:rsidR="00B65D31">
        <w:t>6</w:t>
      </w:r>
    </w:p>
    <w:p w:rsidR="00797945" w:rsidRDefault="00797945" w:rsidP="00797945">
      <w:pPr>
        <w:pStyle w:val="TOC1"/>
      </w:pPr>
      <w:r>
        <w:t>References</w:t>
      </w:r>
      <w:r>
        <w:tab/>
      </w:r>
      <w:r w:rsidR="00B65D31">
        <w:t>7</w:t>
      </w:r>
    </w:p>
    <w:p w:rsidR="00797945" w:rsidRDefault="00797945" w:rsidP="00797945">
      <w:pPr>
        <w:pStyle w:val="TOC1"/>
      </w:pPr>
      <w:r>
        <w:t>Review</w:t>
      </w:r>
      <w:r>
        <w:tab/>
      </w:r>
      <w:r w:rsidR="00B65D31">
        <w:t>7</w:t>
      </w:r>
    </w:p>
    <w:p w:rsidR="000F5D90" w:rsidRDefault="009B5EBC" w:rsidP="00DE3417">
      <w:pPr>
        <w:pStyle w:val="AHPRAbody"/>
      </w:pPr>
      <w:r>
        <w:fldChar w:fldCharType="end"/>
      </w:r>
    </w:p>
    <w:p w:rsidR="00797945" w:rsidRDefault="00797945" w:rsidP="00DE3417">
      <w:pPr>
        <w:pStyle w:val="AHPRAbody"/>
      </w:pPr>
    </w:p>
    <w:p w:rsidR="00797945" w:rsidRDefault="00797945" w:rsidP="00DE3417">
      <w:pPr>
        <w:pStyle w:val="AHPRAbody"/>
      </w:pPr>
    </w:p>
    <w:p w:rsidR="00797945" w:rsidRDefault="00797945" w:rsidP="00DE3417">
      <w:pPr>
        <w:pStyle w:val="AHPRAbody"/>
      </w:pPr>
    </w:p>
    <w:p w:rsidR="00797945" w:rsidRDefault="00797945" w:rsidP="00DE3417">
      <w:pPr>
        <w:pStyle w:val="AHPRAbody"/>
      </w:pPr>
    </w:p>
    <w:p w:rsidR="00797945" w:rsidRDefault="00797945" w:rsidP="00DE3417">
      <w:pPr>
        <w:pStyle w:val="AHPRAbody"/>
      </w:pPr>
    </w:p>
    <w:p w:rsidR="00797945" w:rsidRDefault="00797945" w:rsidP="00DE3417">
      <w:pPr>
        <w:pStyle w:val="AHPRAbody"/>
      </w:pPr>
    </w:p>
    <w:p w:rsidR="00797945" w:rsidRPr="00AF0B64" w:rsidRDefault="00797945" w:rsidP="00797945">
      <w:pPr>
        <w:pStyle w:val="AHPRASubhead"/>
      </w:pPr>
      <w:r>
        <w:lastRenderedPageBreak/>
        <w:t>Introduction</w:t>
      </w:r>
    </w:p>
    <w:p w:rsidR="00797945" w:rsidRDefault="00797945" w:rsidP="00797945">
      <w:pPr>
        <w:autoSpaceDE w:val="0"/>
        <w:autoSpaceDN w:val="0"/>
        <w:adjustRightInd w:val="0"/>
        <w:rPr>
          <w:sz w:val="20"/>
          <w:szCs w:val="20"/>
        </w:rPr>
      </w:pPr>
      <w:r w:rsidRPr="00A51490">
        <w:rPr>
          <w:sz w:val="20"/>
          <w:szCs w:val="20"/>
        </w:rPr>
        <w:t>These guidelines have been developed by the Pharmacy Board o</w:t>
      </w:r>
      <w:r>
        <w:rPr>
          <w:sz w:val="20"/>
          <w:szCs w:val="20"/>
        </w:rPr>
        <w:t>f Australia (the Board) under section</w:t>
      </w:r>
      <w:r w:rsidRPr="00A51490">
        <w:rPr>
          <w:sz w:val="20"/>
          <w:szCs w:val="20"/>
        </w:rPr>
        <w:t xml:space="preserve"> 39 of the</w:t>
      </w:r>
      <w:r>
        <w:rPr>
          <w:sz w:val="20"/>
          <w:szCs w:val="20"/>
        </w:rPr>
        <w:t xml:space="preserve"> </w:t>
      </w:r>
      <w:r w:rsidRPr="0092199B">
        <w:rPr>
          <w:iCs/>
          <w:sz w:val="20"/>
          <w:szCs w:val="20"/>
        </w:rPr>
        <w:t xml:space="preserve">Health Practitioner Regulation National Law, as in force in each state and territory </w:t>
      </w:r>
      <w:r w:rsidRPr="00A67077">
        <w:rPr>
          <w:sz w:val="20"/>
          <w:szCs w:val="20"/>
        </w:rPr>
        <w:t>(the National Law</w:t>
      </w:r>
      <w:r>
        <w:rPr>
          <w:sz w:val="20"/>
          <w:szCs w:val="20"/>
        </w:rPr>
        <w:t xml:space="preserve">). They provide guidance to pharmacists in relation to a range of practice-specific issues not set out in legislation or a registration standard.  </w:t>
      </w:r>
    </w:p>
    <w:p w:rsidR="00797945" w:rsidRDefault="00797945" w:rsidP="00797945">
      <w:pPr>
        <w:autoSpaceDE w:val="0"/>
        <w:autoSpaceDN w:val="0"/>
        <w:adjustRightInd w:val="0"/>
        <w:rPr>
          <w:i/>
          <w:iCs/>
          <w:sz w:val="20"/>
          <w:szCs w:val="20"/>
        </w:rPr>
      </w:pPr>
    </w:p>
    <w:p w:rsidR="00797945" w:rsidRDefault="00797945" w:rsidP="00797945">
      <w:pPr>
        <w:autoSpaceDE w:val="0"/>
        <w:autoSpaceDN w:val="0"/>
        <w:adjustRightInd w:val="0"/>
        <w:rPr>
          <w:i/>
          <w:iCs/>
          <w:sz w:val="20"/>
          <w:szCs w:val="20"/>
        </w:rPr>
      </w:pPr>
      <w:r w:rsidRPr="002B2A8E">
        <w:rPr>
          <w:i/>
          <w:iCs/>
          <w:sz w:val="20"/>
          <w:szCs w:val="20"/>
        </w:rPr>
        <w:t xml:space="preserve">Note: As part of the agreement by the Council of Australian Governments to provide for the National Law, </w:t>
      </w:r>
      <w:r>
        <w:rPr>
          <w:i/>
          <w:iCs/>
          <w:sz w:val="20"/>
          <w:szCs w:val="20"/>
        </w:rPr>
        <w:t xml:space="preserve">pharmacy </w:t>
      </w:r>
      <w:r w:rsidRPr="002B2A8E">
        <w:rPr>
          <w:i/>
          <w:iCs/>
          <w:sz w:val="20"/>
          <w:szCs w:val="20"/>
        </w:rPr>
        <w:t>ownership, regulation of premises, inspections and related matters do not form part of the National Law</w:t>
      </w:r>
      <w:r>
        <w:rPr>
          <w:i/>
          <w:iCs/>
          <w:sz w:val="20"/>
          <w:szCs w:val="20"/>
        </w:rPr>
        <w:t>. E</w:t>
      </w:r>
      <w:r w:rsidRPr="002B2A8E">
        <w:rPr>
          <w:i/>
          <w:iCs/>
          <w:sz w:val="20"/>
          <w:szCs w:val="20"/>
        </w:rPr>
        <w:t>ach jurisdiction will have separate legislation and guidelines for these purposes.</w:t>
      </w:r>
    </w:p>
    <w:p w:rsidR="00797945" w:rsidRPr="002B2A8E" w:rsidRDefault="00797945" w:rsidP="00797945">
      <w:pPr>
        <w:autoSpaceDE w:val="0"/>
        <w:autoSpaceDN w:val="0"/>
        <w:adjustRightInd w:val="0"/>
        <w:rPr>
          <w:i/>
          <w:iCs/>
          <w:sz w:val="20"/>
          <w:szCs w:val="20"/>
        </w:rPr>
      </w:pPr>
    </w:p>
    <w:p w:rsidR="00797945" w:rsidRPr="00AF0B64" w:rsidRDefault="00797945" w:rsidP="00797945">
      <w:pPr>
        <w:pStyle w:val="AHPRASubhead"/>
      </w:pPr>
      <w:r>
        <w:t>Who needs to use these guidelines?</w:t>
      </w:r>
    </w:p>
    <w:p w:rsidR="00797945" w:rsidRDefault="00797945" w:rsidP="00797945">
      <w:pPr>
        <w:autoSpaceDE w:val="0"/>
        <w:autoSpaceDN w:val="0"/>
        <w:adjustRightInd w:val="0"/>
        <w:rPr>
          <w:sz w:val="20"/>
          <w:szCs w:val="20"/>
        </w:rPr>
      </w:pPr>
      <w:r w:rsidRPr="00A51490">
        <w:rPr>
          <w:sz w:val="20"/>
          <w:szCs w:val="20"/>
        </w:rPr>
        <w:t xml:space="preserve">These guidelines </w:t>
      </w:r>
      <w:r>
        <w:rPr>
          <w:sz w:val="20"/>
          <w:szCs w:val="20"/>
        </w:rPr>
        <w:t>were</w:t>
      </w:r>
      <w:r w:rsidRPr="00A51490">
        <w:rPr>
          <w:sz w:val="20"/>
          <w:szCs w:val="20"/>
        </w:rPr>
        <w:t xml:space="preserve"> developed to provide guidance to registered pharmacists or those seeking to become registered pharmacists. They apply to all pharmacists </w:t>
      </w:r>
      <w:r>
        <w:rPr>
          <w:sz w:val="20"/>
          <w:szCs w:val="20"/>
        </w:rPr>
        <w:t>holding</w:t>
      </w:r>
      <w:r w:rsidRPr="00A51490">
        <w:rPr>
          <w:sz w:val="20"/>
          <w:szCs w:val="20"/>
        </w:rPr>
        <w:t xml:space="preserve"> the following </w:t>
      </w:r>
      <w:r>
        <w:rPr>
          <w:sz w:val="20"/>
          <w:szCs w:val="20"/>
        </w:rPr>
        <w:t>types of registration</w:t>
      </w:r>
      <w:r w:rsidRPr="00A51490">
        <w:rPr>
          <w:sz w:val="20"/>
          <w:szCs w:val="20"/>
        </w:rPr>
        <w:t>:</w:t>
      </w:r>
    </w:p>
    <w:p w:rsidR="00797945" w:rsidRPr="00AF0B64" w:rsidRDefault="00797945" w:rsidP="00797945">
      <w:pPr>
        <w:autoSpaceDE w:val="0"/>
        <w:autoSpaceDN w:val="0"/>
        <w:adjustRightInd w:val="0"/>
        <w:rPr>
          <w:sz w:val="20"/>
          <w:szCs w:val="20"/>
        </w:rPr>
      </w:pPr>
    </w:p>
    <w:p w:rsidR="00797945" w:rsidRDefault="00797945" w:rsidP="00797945">
      <w:pPr>
        <w:pStyle w:val="ListParagraph"/>
        <w:numPr>
          <w:ilvl w:val="0"/>
          <w:numId w:val="15"/>
        </w:numPr>
        <w:autoSpaceDE w:val="0"/>
        <w:autoSpaceDN w:val="0"/>
        <w:adjustRightInd w:val="0"/>
        <w:spacing w:after="0" w:line="240" w:lineRule="auto"/>
        <w:rPr>
          <w:rFonts w:ascii="Arial" w:hAnsi="Arial" w:cs="Arial"/>
          <w:sz w:val="20"/>
          <w:szCs w:val="20"/>
        </w:rPr>
      </w:pPr>
      <w:r w:rsidRPr="00A51490">
        <w:rPr>
          <w:rFonts w:ascii="Arial" w:hAnsi="Arial" w:cs="Arial"/>
          <w:sz w:val="20"/>
          <w:szCs w:val="20"/>
        </w:rPr>
        <w:t>general</w:t>
      </w:r>
    </w:p>
    <w:p w:rsidR="00797945" w:rsidRDefault="00797945" w:rsidP="00797945">
      <w:pPr>
        <w:pStyle w:val="ListParagraph"/>
        <w:numPr>
          <w:ilvl w:val="0"/>
          <w:numId w:val="15"/>
        </w:numPr>
        <w:autoSpaceDE w:val="0"/>
        <w:autoSpaceDN w:val="0"/>
        <w:adjustRightInd w:val="0"/>
        <w:spacing w:after="0" w:line="240" w:lineRule="auto"/>
        <w:rPr>
          <w:rFonts w:ascii="Arial" w:hAnsi="Arial" w:cs="Arial"/>
          <w:sz w:val="20"/>
          <w:szCs w:val="20"/>
        </w:rPr>
      </w:pPr>
      <w:r>
        <w:rPr>
          <w:rFonts w:ascii="Arial" w:hAnsi="Arial" w:cs="Arial"/>
          <w:sz w:val="20"/>
          <w:szCs w:val="20"/>
        </w:rPr>
        <w:t>p</w:t>
      </w:r>
      <w:r w:rsidRPr="00A51490">
        <w:rPr>
          <w:rFonts w:ascii="Arial" w:hAnsi="Arial" w:cs="Arial"/>
          <w:sz w:val="20"/>
          <w:szCs w:val="20"/>
        </w:rPr>
        <w:t>rovisional</w:t>
      </w:r>
      <w:r>
        <w:rPr>
          <w:rFonts w:ascii="Arial" w:hAnsi="Arial" w:cs="Arial"/>
          <w:sz w:val="20"/>
          <w:szCs w:val="20"/>
        </w:rPr>
        <w:t xml:space="preserve">, or </w:t>
      </w:r>
    </w:p>
    <w:p w:rsidR="00797945" w:rsidRDefault="00797945" w:rsidP="00797945">
      <w:pPr>
        <w:pStyle w:val="ListParagraph"/>
        <w:numPr>
          <w:ilvl w:val="0"/>
          <w:numId w:val="15"/>
        </w:numPr>
        <w:autoSpaceDE w:val="0"/>
        <w:autoSpaceDN w:val="0"/>
        <w:adjustRightInd w:val="0"/>
        <w:spacing w:line="240" w:lineRule="auto"/>
        <w:ind w:left="714" w:hanging="357"/>
        <w:contextualSpacing w:val="0"/>
        <w:rPr>
          <w:rFonts w:ascii="Arial" w:hAnsi="Arial" w:cs="Arial"/>
          <w:sz w:val="20"/>
          <w:szCs w:val="20"/>
        </w:rPr>
      </w:pPr>
      <w:r w:rsidRPr="00A51490">
        <w:rPr>
          <w:rFonts w:ascii="Arial" w:hAnsi="Arial" w:cs="Arial"/>
          <w:sz w:val="20"/>
          <w:szCs w:val="20"/>
        </w:rPr>
        <w:t>limited.</w:t>
      </w:r>
    </w:p>
    <w:p w:rsidR="00797945" w:rsidRDefault="00797945" w:rsidP="00797945">
      <w:pPr>
        <w:autoSpaceDE w:val="0"/>
        <w:autoSpaceDN w:val="0"/>
        <w:adjustRightInd w:val="0"/>
        <w:rPr>
          <w:sz w:val="20"/>
          <w:szCs w:val="20"/>
        </w:rPr>
      </w:pPr>
      <w:r w:rsidRPr="00A51490">
        <w:rPr>
          <w:sz w:val="20"/>
          <w:szCs w:val="20"/>
        </w:rPr>
        <w:t>These guid</w:t>
      </w:r>
      <w:r>
        <w:rPr>
          <w:sz w:val="20"/>
          <w:szCs w:val="20"/>
        </w:rPr>
        <w:t>elines do not apply to pharmacists holding non-practising registration or to students. However, students should become familiar with these guidelines prior to undertaking supervised practice placements.</w:t>
      </w:r>
    </w:p>
    <w:p w:rsidR="00797945" w:rsidRDefault="00797945" w:rsidP="00797945">
      <w:pPr>
        <w:autoSpaceDE w:val="0"/>
        <w:autoSpaceDN w:val="0"/>
        <w:adjustRightInd w:val="0"/>
        <w:rPr>
          <w:sz w:val="20"/>
          <w:szCs w:val="20"/>
        </w:rPr>
      </w:pPr>
    </w:p>
    <w:p w:rsidR="00797945" w:rsidRDefault="00797945" w:rsidP="00797945">
      <w:pPr>
        <w:pStyle w:val="AHPRASubhead"/>
      </w:pPr>
      <w:r>
        <w:t>What happens if I do not comply with these guidelines?</w:t>
      </w:r>
    </w:p>
    <w:p w:rsidR="00797945" w:rsidRDefault="00797945" w:rsidP="00797945">
      <w:pPr>
        <w:autoSpaceDE w:val="0"/>
        <w:autoSpaceDN w:val="0"/>
        <w:adjustRightInd w:val="0"/>
        <w:rPr>
          <w:sz w:val="20"/>
          <w:szCs w:val="20"/>
        </w:rPr>
      </w:pPr>
      <w:r>
        <w:rPr>
          <w:sz w:val="20"/>
          <w:szCs w:val="20"/>
        </w:rPr>
        <w:t xml:space="preserve">Pharmacists must comply with all legislation relevant to the practice of pharmacy in the jurisdiction where the practice occurs. Additionally, </w:t>
      </w:r>
      <w:r w:rsidRPr="002B2A8E">
        <w:rPr>
          <w:sz w:val="20"/>
          <w:szCs w:val="20"/>
        </w:rPr>
        <w:t xml:space="preserve">pharmacists are </w:t>
      </w:r>
      <w:r>
        <w:rPr>
          <w:sz w:val="20"/>
          <w:szCs w:val="20"/>
        </w:rPr>
        <w:t>expected</w:t>
      </w:r>
      <w:r w:rsidRPr="002B2A8E">
        <w:rPr>
          <w:sz w:val="20"/>
          <w:szCs w:val="20"/>
        </w:rPr>
        <w:t xml:space="preserve"> to </w:t>
      </w:r>
      <w:r>
        <w:rPr>
          <w:sz w:val="20"/>
          <w:szCs w:val="20"/>
        </w:rPr>
        <w:t>be aware of and comply with</w:t>
      </w:r>
      <w:r w:rsidRPr="002B2A8E">
        <w:rPr>
          <w:sz w:val="20"/>
          <w:szCs w:val="20"/>
        </w:rPr>
        <w:t xml:space="preserve"> the </w:t>
      </w:r>
      <w:r>
        <w:rPr>
          <w:sz w:val="20"/>
          <w:szCs w:val="20"/>
        </w:rPr>
        <w:t xml:space="preserve">profession’s </w:t>
      </w:r>
      <w:r w:rsidRPr="002B2A8E">
        <w:rPr>
          <w:sz w:val="20"/>
          <w:szCs w:val="20"/>
        </w:rPr>
        <w:t>standards</w:t>
      </w:r>
      <w:r>
        <w:rPr>
          <w:sz w:val="20"/>
          <w:szCs w:val="20"/>
        </w:rPr>
        <w:t xml:space="preserve"> and guidelines (including any other standards or guidelines referred to in those documents)</w:t>
      </w:r>
      <w:r w:rsidRPr="002B2A8E">
        <w:rPr>
          <w:sz w:val="20"/>
          <w:szCs w:val="20"/>
        </w:rPr>
        <w:t>, a</w:t>
      </w:r>
      <w:r>
        <w:rPr>
          <w:sz w:val="20"/>
          <w:szCs w:val="20"/>
        </w:rPr>
        <w:t>s</w:t>
      </w:r>
      <w:r w:rsidRPr="002B2A8E">
        <w:rPr>
          <w:sz w:val="20"/>
          <w:szCs w:val="20"/>
        </w:rPr>
        <w:t xml:space="preserve"> relevant to their </w:t>
      </w:r>
      <w:r>
        <w:rPr>
          <w:sz w:val="20"/>
          <w:szCs w:val="20"/>
        </w:rPr>
        <w:t>scope</w:t>
      </w:r>
      <w:r w:rsidRPr="002B2A8E">
        <w:rPr>
          <w:sz w:val="20"/>
          <w:szCs w:val="20"/>
        </w:rPr>
        <w:t xml:space="preserve"> of practice and </w:t>
      </w:r>
      <w:r>
        <w:rPr>
          <w:sz w:val="20"/>
          <w:szCs w:val="20"/>
        </w:rPr>
        <w:t>type</w:t>
      </w:r>
      <w:r w:rsidRPr="002B2A8E">
        <w:rPr>
          <w:sz w:val="20"/>
          <w:szCs w:val="20"/>
        </w:rPr>
        <w:t xml:space="preserve"> of registration.</w:t>
      </w:r>
      <w:r>
        <w:rPr>
          <w:sz w:val="20"/>
          <w:szCs w:val="20"/>
        </w:rPr>
        <w:t xml:space="preserve"> The pharmacy practice standards and guidelines can be accessed on the website of the relevant professional bodies:</w:t>
      </w:r>
    </w:p>
    <w:p w:rsidR="00797945" w:rsidRDefault="00797945" w:rsidP="00797945">
      <w:pPr>
        <w:autoSpaceDE w:val="0"/>
        <w:autoSpaceDN w:val="0"/>
        <w:adjustRightInd w:val="0"/>
        <w:rPr>
          <w:sz w:val="20"/>
          <w:szCs w:val="20"/>
        </w:rPr>
      </w:pPr>
    </w:p>
    <w:p w:rsidR="00797945" w:rsidRPr="00C61848" w:rsidRDefault="00797945" w:rsidP="00797945">
      <w:pPr>
        <w:numPr>
          <w:ilvl w:val="0"/>
          <w:numId w:val="15"/>
        </w:numPr>
        <w:autoSpaceDE w:val="0"/>
        <w:autoSpaceDN w:val="0"/>
        <w:adjustRightInd w:val="0"/>
        <w:contextualSpacing/>
        <w:jc w:val="left"/>
        <w:rPr>
          <w:rFonts w:eastAsia="Cambria"/>
          <w:sz w:val="20"/>
          <w:szCs w:val="20"/>
        </w:rPr>
      </w:pPr>
      <w:r w:rsidRPr="00C61848">
        <w:rPr>
          <w:rFonts w:eastAsia="Cambria"/>
          <w:sz w:val="20"/>
          <w:szCs w:val="20"/>
        </w:rPr>
        <w:t>Pharmaceutical Society of Australia (PSA)</w:t>
      </w:r>
      <w:r w:rsidRPr="00C61848">
        <w:rPr>
          <w:rFonts w:eastAsia="Cambria" w:cs="Times New Roman"/>
          <w:sz w:val="20"/>
          <w:szCs w:val="20"/>
        </w:rPr>
        <w:t xml:space="preserve"> (</w:t>
      </w:r>
      <w:hyperlink r:id="rId8" w:history="1">
        <w:r w:rsidRPr="00C61848">
          <w:rPr>
            <w:rFonts w:eastAsia="Cambria" w:cs="Times New Roman"/>
            <w:color w:val="0000FF"/>
            <w:sz w:val="20"/>
            <w:u w:val="single"/>
          </w:rPr>
          <w:t>www.psa.org.au</w:t>
        </w:r>
      </w:hyperlink>
      <w:r w:rsidRPr="00C61848">
        <w:rPr>
          <w:rFonts w:eastAsia="Cambria" w:cs="Times New Roman"/>
          <w:sz w:val="20"/>
          <w:szCs w:val="20"/>
        </w:rPr>
        <w:t>)</w:t>
      </w:r>
      <w:r>
        <w:rPr>
          <w:rFonts w:eastAsia="Cambria" w:cs="Times New Roman"/>
          <w:sz w:val="20"/>
          <w:szCs w:val="20"/>
        </w:rPr>
        <w:t>, and</w:t>
      </w:r>
    </w:p>
    <w:p w:rsidR="00797945" w:rsidRPr="00C61848" w:rsidRDefault="00797945" w:rsidP="00797945">
      <w:pPr>
        <w:numPr>
          <w:ilvl w:val="0"/>
          <w:numId w:val="15"/>
        </w:numPr>
        <w:autoSpaceDE w:val="0"/>
        <w:autoSpaceDN w:val="0"/>
        <w:adjustRightInd w:val="0"/>
        <w:spacing w:after="200"/>
        <w:contextualSpacing/>
        <w:jc w:val="left"/>
        <w:rPr>
          <w:rFonts w:eastAsia="Cambria"/>
          <w:sz w:val="20"/>
          <w:szCs w:val="20"/>
        </w:rPr>
      </w:pPr>
      <w:r w:rsidRPr="00C61848">
        <w:rPr>
          <w:rFonts w:eastAsia="Cambria"/>
          <w:sz w:val="20"/>
          <w:szCs w:val="20"/>
        </w:rPr>
        <w:t>The Society of Hospital Pharmacists of Australia (The SHPA)</w:t>
      </w:r>
      <w:r w:rsidRPr="00C61848">
        <w:rPr>
          <w:rFonts w:eastAsia="Cambria" w:cs="Times New Roman"/>
          <w:sz w:val="20"/>
          <w:szCs w:val="20"/>
        </w:rPr>
        <w:t xml:space="preserve"> (</w:t>
      </w:r>
      <w:hyperlink r:id="rId9" w:history="1">
        <w:r w:rsidRPr="00C61848">
          <w:rPr>
            <w:rFonts w:eastAsia="Cambria" w:cs="Times New Roman"/>
            <w:color w:val="0000FF"/>
            <w:sz w:val="20"/>
            <w:u w:val="single"/>
          </w:rPr>
          <w:t>www.shpa.org.au</w:t>
        </w:r>
      </w:hyperlink>
      <w:r w:rsidRPr="00C61848">
        <w:rPr>
          <w:rFonts w:eastAsia="Cambria" w:cs="Times New Roman"/>
          <w:sz w:val="20"/>
          <w:szCs w:val="20"/>
        </w:rPr>
        <w:t>)</w:t>
      </w:r>
      <w:r>
        <w:rPr>
          <w:rFonts w:eastAsia="Cambria" w:cs="Times New Roman"/>
          <w:sz w:val="20"/>
          <w:szCs w:val="20"/>
        </w:rPr>
        <w:t>.</w:t>
      </w:r>
    </w:p>
    <w:p w:rsidR="00797945" w:rsidRDefault="00797945" w:rsidP="00797945">
      <w:pPr>
        <w:autoSpaceDE w:val="0"/>
        <w:autoSpaceDN w:val="0"/>
        <w:adjustRightInd w:val="0"/>
        <w:ind w:left="720"/>
        <w:contextualSpacing/>
        <w:rPr>
          <w:rFonts w:eastAsia="Cambria"/>
          <w:sz w:val="20"/>
          <w:szCs w:val="20"/>
        </w:rPr>
      </w:pPr>
    </w:p>
    <w:p w:rsidR="00797945" w:rsidRDefault="00797945" w:rsidP="00797945">
      <w:pPr>
        <w:autoSpaceDE w:val="0"/>
        <w:autoSpaceDN w:val="0"/>
        <w:adjustRightInd w:val="0"/>
        <w:rPr>
          <w:sz w:val="20"/>
          <w:szCs w:val="20"/>
        </w:rPr>
      </w:pPr>
      <w:r>
        <w:rPr>
          <w:sz w:val="20"/>
          <w:szCs w:val="20"/>
        </w:rPr>
        <w:t>Non-compliance with these guidelines and the relevant practice standards and guidelines may be notified to the Board for appropriate action under the National Law. U</w:t>
      </w:r>
      <w:r w:rsidRPr="00E63998">
        <w:rPr>
          <w:sz w:val="20"/>
          <w:szCs w:val="20"/>
        </w:rPr>
        <w:t xml:space="preserve">nder section 41 of the National Law, </w:t>
      </w:r>
      <w:r>
        <w:rPr>
          <w:sz w:val="20"/>
          <w:szCs w:val="20"/>
        </w:rPr>
        <w:t xml:space="preserve">these guidelines </w:t>
      </w:r>
      <w:r w:rsidRPr="00E63998">
        <w:rPr>
          <w:sz w:val="20"/>
          <w:szCs w:val="20"/>
        </w:rPr>
        <w:t>can be used in</w:t>
      </w:r>
      <w:r>
        <w:rPr>
          <w:sz w:val="20"/>
          <w:szCs w:val="20"/>
        </w:rPr>
        <w:t xml:space="preserve"> disciplinary</w:t>
      </w:r>
      <w:r w:rsidRPr="00E63998">
        <w:rPr>
          <w:sz w:val="20"/>
          <w:szCs w:val="20"/>
        </w:rPr>
        <w:t xml:space="preserve"> proceedings under the National Law </w:t>
      </w:r>
      <w:r>
        <w:rPr>
          <w:sz w:val="20"/>
          <w:szCs w:val="20"/>
        </w:rPr>
        <w:t xml:space="preserve">or law of a co-regulatory jurisdiction </w:t>
      </w:r>
      <w:r w:rsidRPr="00E63998">
        <w:rPr>
          <w:sz w:val="20"/>
          <w:szCs w:val="20"/>
        </w:rPr>
        <w:t>as evidence of what constitutes appropriate professional conduct or practice for pharmacists</w:t>
      </w:r>
      <w:r w:rsidRPr="000040EA">
        <w:rPr>
          <w:sz w:val="20"/>
          <w:szCs w:val="20"/>
        </w:rPr>
        <w:t xml:space="preserve">.  </w:t>
      </w:r>
      <w:r>
        <w:rPr>
          <w:sz w:val="20"/>
          <w:szCs w:val="20"/>
        </w:rPr>
        <w:t>When</w:t>
      </w:r>
      <w:r w:rsidRPr="002B2A8E">
        <w:rPr>
          <w:sz w:val="20"/>
          <w:szCs w:val="20"/>
        </w:rPr>
        <w:t xml:space="preserve"> considering notifications (complaints) against pharmacists, the Board will </w:t>
      </w:r>
      <w:r>
        <w:rPr>
          <w:sz w:val="20"/>
          <w:szCs w:val="20"/>
        </w:rPr>
        <w:t xml:space="preserve">give consideration to whether a breach of these guidelines has taken place. The Board will also </w:t>
      </w:r>
      <w:r w:rsidRPr="002B2A8E">
        <w:rPr>
          <w:sz w:val="20"/>
          <w:szCs w:val="20"/>
        </w:rPr>
        <w:t>have regard to</w:t>
      </w:r>
      <w:r>
        <w:rPr>
          <w:sz w:val="20"/>
          <w:szCs w:val="20"/>
        </w:rPr>
        <w:t xml:space="preserve"> the</w:t>
      </w:r>
      <w:r w:rsidRPr="002B2A8E">
        <w:rPr>
          <w:sz w:val="20"/>
          <w:szCs w:val="20"/>
        </w:rPr>
        <w:t xml:space="preserve"> </w:t>
      </w:r>
      <w:r>
        <w:rPr>
          <w:sz w:val="20"/>
          <w:szCs w:val="20"/>
        </w:rPr>
        <w:t xml:space="preserve">legislation and </w:t>
      </w:r>
      <w:r w:rsidRPr="002B2A8E">
        <w:rPr>
          <w:sz w:val="20"/>
          <w:szCs w:val="20"/>
        </w:rPr>
        <w:t>practice standards</w:t>
      </w:r>
      <w:r>
        <w:rPr>
          <w:sz w:val="20"/>
          <w:szCs w:val="20"/>
        </w:rPr>
        <w:t xml:space="preserve"> and guidelines relevant to pharmacy practice.</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D63FC3">
        <w:rPr>
          <w:sz w:val="20"/>
          <w:szCs w:val="20"/>
        </w:rPr>
        <w:t>Further information for pharmacists regarding the possible outcomes of notifications is available on the website of the Australian Health Practitioner Regulation Agency (AHPRA) (</w:t>
      </w:r>
      <w:hyperlink r:id="rId10" w:history="1">
        <w:r w:rsidRPr="00D63FC3">
          <w:rPr>
            <w:rStyle w:val="Hyperlink"/>
            <w:sz w:val="20"/>
            <w:szCs w:val="20"/>
          </w:rPr>
          <w:t>www.ahpra.gov.au</w:t>
        </w:r>
      </w:hyperlink>
      <w:r w:rsidRPr="00D63FC3">
        <w:rPr>
          <w:sz w:val="20"/>
          <w:szCs w:val="20"/>
        </w:rPr>
        <w:t xml:space="preserve">). </w:t>
      </w:r>
    </w:p>
    <w:p w:rsidR="00797945" w:rsidRPr="00D63FC3" w:rsidRDefault="00797945" w:rsidP="00797945">
      <w:pPr>
        <w:autoSpaceDE w:val="0"/>
        <w:autoSpaceDN w:val="0"/>
        <w:adjustRightInd w:val="0"/>
        <w:rPr>
          <w:sz w:val="20"/>
          <w:szCs w:val="20"/>
        </w:rPr>
      </w:pPr>
    </w:p>
    <w:p w:rsidR="00797945" w:rsidRPr="00AF0B64" w:rsidRDefault="00797945" w:rsidP="00797945">
      <w:pPr>
        <w:pStyle w:val="AHPRASubhead"/>
      </w:pPr>
      <w:r>
        <w:t>Summary of guidelines</w:t>
      </w:r>
    </w:p>
    <w:p w:rsidR="00797945" w:rsidRDefault="00797945" w:rsidP="00797945">
      <w:pPr>
        <w:autoSpaceDE w:val="0"/>
        <w:autoSpaceDN w:val="0"/>
        <w:adjustRightInd w:val="0"/>
        <w:rPr>
          <w:sz w:val="20"/>
          <w:szCs w:val="20"/>
        </w:rPr>
      </w:pPr>
      <w:r w:rsidRPr="004828B5">
        <w:rPr>
          <w:sz w:val="20"/>
          <w:szCs w:val="20"/>
        </w:rPr>
        <w:t xml:space="preserve">These guidelines </w:t>
      </w:r>
      <w:r w:rsidRPr="00913EDB">
        <w:rPr>
          <w:sz w:val="20"/>
          <w:szCs w:val="20"/>
        </w:rPr>
        <w:t xml:space="preserve">address </w:t>
      </w:r>
      <w:r>
        <w:rPr>
          <w:sz w:val="20"/>
          <w:szCs w:val="20"/>
        </w:rPr>
        <w:t>various</w:t>
      </w:r>
      <w:r w:rsidRPr="00913EDB">
        <w:rPr>
          <w:sz w:val="20"/>
          <w:szCs w:val="20"/>
        </w:rPr>
        <w:t xml:space="preserve"> </w:t>
      </w:r>
      <w:r>
        <w:rPr>
          <w:sz w:val="20"/>
          <w:szCs w:val="20"/>
        </w:rPr>
        <w:t xml:space="preserve">pharmacy practice matters, including those which relate to specific services provided by some </w:t>
      </w:r>
      <w:r w:rsidRPr="00913EDB">
        <w:rPr>
          <w:sz w:val="20"/>
          <w:szCs w:val="20"/>
        </w:rPr>
        <w:t>pharmacists</w:t>
      </w:r>
      <w:r>
        <w:rPr>
          <w:sz w:val="20"/>
          <w:szCs w:val="20"/>
        </w:rPr>
        <w:t xml:space="preserve"> or at some pharmacies. Particular </w:t>
      </w:r>
      <w:r w:rsidRPr="00913EDB">
        <w:rPr>
          <w:sz w:val="20"/>
          <w:szCs w:val="20"/>
        </w:rPr>
        <w:t>reference</w:t>
      </w:r>
      <w:r>
        <w:rPr>
          <w:sz w:val="20"/>
          <w:szCs w:val="20"/>
        </w:rPr>
        <w:t xml:space="preserve"> is made</w:t>
      </w:r>
      <w:r w:rsidRPr="00913EDB">
        <w:rPr>
          <w:sz w:val="20"/>
          <w:szCs w:val="20"/>
        </w:rPr>
        <w:t xml:space="preserve"> to drugs of abuse. As patterns of drug abuse change over time, the content of these guidelines is expected to be revised as needed.</w:t>
      </w:r>
    </w:p>
    <w:p w:rsidR="00B65D31" w:rsidRDefault="00B65D31" w:rsidP="00797945">
      <w:pPr>
        <w:pStyle w:val="AHPRASubhead"/>
      </w:pPr>
    </w:p>
    <w:p w:rsidR="00797945" w:rsidRPr="00AF0B64" w:rsidRDefault="00797945" w:rsidP="00797945">
      <w:pPr>
        <w:pStyle w:val="AHPRASubhead"/>
      </w:pPr>
      <w:r>
        <w:lastRenderedPageBreak/>
        <w:t>Guidelines</w:t>
      </w:r>
    </w:p>
    <w:p w:rsidR="00797945" w:rsidRPr="00C87844" w:rsidRDefault="00797945" w:rsidP="00797945">
      <w:pPr>
        <w:pStyle w:val="AHPRASubhead"/>
      </w:pPr>
      <w:r w:rsidRPr="00F63BDC">
        <w:t>1</w:t>
      </w:r>
      <w:r w:rsidRPr="00F63BDC">
        <w:tab/>
        <w:t xml:space="preserve">Reference texts for pharmacists </w:t>
      </w:r>
    </w:p>
    <w:p w:rsidR="00797945" w:rsidRDefault="00797945" w:rsidP="00797945">
      <w:pPr>
        <w:autoSpaceDE w:val="0"/>
        <w:autoSpaceDN w:val="0"/>
        <w:adjustRightInd w:val="0"/>
        <w:rPr>
          <w:sz w:val="20"/>
          <w:szCs w:val="20"/>
        </w:rPr>
      </w:pPr>
      <w:r>
        <w:rPr>
          <w:sz w:val="20"/>
          <w:szCs w:val="20"/>
        </w:rPr>
        <w:t xml:space="preserve">Access to contemporary </w:t>
      </w:r>
      <w:r w:rsidRPr="00913EDB">
        <w:rPr>
          <w:sz w:val="20"/>
          <w:szCs w:val="20"/>
        </w:rPr>
        <w:t>reference</w:t>
      </w:r>
      <w:r>
        <w:rPr>
          <w:sz w:val="20"/>
          <w:szCs w:val="20"/>
        </w:rPr>
        <w:t>s</w:t>
      </w:r>
      <w:r w:rsidRPr="00913EDB">
        <w:rPr>
          <w:sz w:val="20"/>
          <w:szCs w:val="20"/>
        </w:rPr>
        <w:t xml:space="preserve"> </w:t>
      </w:r>
      <w:r>
        <w:rPr>
          <w:sz w:val="20"/>
          <w:szCs w:val="20"/>
        </w:rPr>
        <w:t>is</w:t>
      </w:r>
      <w:r w:rsidRPr="00913EDB">
        <w:rPr>
          <w:sz w:val="20"/>
          <w:szCs w:val="20"/>
        </w:rPr>
        <w:t xml:space="preserve"> essential to the practice of pharmacy.</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 xml:space="preserve">On its </w:t>
      </w:r>
      <w:r w:rsidRPr="00913EDB">
        <w:rPr>
          <w:sz w:val="20"/>
          <w:szCs w:val="20"/>
        </w:rPr>
        <w:t>website</w:t>
      </w:r>
      <w:r>
        <w:rPr>
          <w:sz w:val="20"/>
          <w:szCs w:val="20"/>
        </w:rPr>
        <w:t>,</w:t>
      </w:r>
      <w:r w:rsidRPr="00913EDB">
        <w:rPr>
          <w:sz w:val="20"/>
          <w:szCs w:val="20"/>
        </w:rPr>
        <w:t xml:space="preserve"> </w:t>
      </w:r>
      <w:r>
        <w:rPr>
          <w:sz w:val="20"/>
          <w:szCs w:val="20"/>
        </w:rPr>
        <w:t xml:space="preserve">the Board provides </w:t>
      </w:r>
      <w:r w:rsidRPr="00913EDB">
        <w:rPr>
          <w:sz w:val="20"/>
          <w:szCs w:val="20"/>
        </w:rPr>
        <w:t>an up–to-date list of essential references</w:t>
      </w:r>
      <w:r>
        <w:rPr>
          <w:sz w:val="20"/>
          <w:szCs w:val="20"/>
        </w:rPr>
        <w:t xml:space="preserve"> for pharmacists (document titled: </w:t>
      </w:r>
      <w:r w:rsidRPr="00DE3A48">
        <w:rPr>
          <w:i/>
          <w:sz w:val="20"/>
          <w:szCs w:val="20"/>
        </w:rPr>
        <w:t>Guidelines on practice-specific</w:t>
      </w:r>
      <w:r>
        <w:rPr>
          <w:i/>
          <w:sz w:val="20"/>
          <w:szCs w:val="20"/>
        </w:rPr>
        <w:t xml:space="preserve"> issues – Guideline 1 (List of r</w:t>
      </w:r>
      <w:r w:rsidRPr="00DE3A48">
        <w:rPr>
          <w:i/>
          <w:sz w:val="20"/>
          <w:szCs w:val="20"/>
        </w:rPr>
        <w:t>eference texts for pharmacists)</w:t>
      </w:r>
      <w:r>
        <w:rPr>
          <w:sz w:val="20"/>
          <w:szCs w:val="20"/>
        </w:rPr>
        <w:t>). This list includes the</w:t>
      </w:r>
      <w:r w:rsidRPr="00913EDB">
        <w:rPr>
          <w:sz w:val="20"/>
          <w:szCs w:val="20"/>
        </w:rPr>
        <w:t xml:space="preserve"> </w:t>
      </w:r>
      <w:r>
        <w:rPr>
          <w:sz w:val="20"/>
          <w:szCs w:val="20"/>
        </w:rPr>
        <w:t xml:space="preserve">primary reference the </w:t>
      </w:r>
      <w:r w:rsidRPr="00913EDB">
        <w:rPr>
          <w:i/>
          <w:iCs/>
          <w:sz w:val="20"/>
          <w:szCs w:val="20"/>
        </w:rPr>
        <w:t xml:space="preserve">Australian </w:t>
      </w:r>
      <w:r>
        <w:rPr>
          <w:i/>
          <w:iCs/>
          <w:sz w:val="20"/>
          <w:szCs w:val="20"/>
        </w:rPr>
        <w:t>P</w:t>
      </w:r>
      <w:r w:rsidRPr="00913EDB">
        <w:rPr>
          <w:i/>
          <w:iCs/>
          <w:sz w:val="20"/>
          <w:szCs w:val="20"/>
        </w:rPr>
        <w:t xml:space="preserve">harmaceutical </w:t>
      </w:r>
      <w:r>
        <w:rPr>
          <w:i/>
          <w:iCs/>
          <w:sz w:val="20"/>
          <w:szCs w:val="20"/>
        </w:rPr>
        <w:t>F</w:t>
      </w:r>
      <w:r w:rsidRPr="00913EDB">
        <w:rPr>
          <w:i/>
          <w:iCs/>
          <w:sz w:val="20"/>
          <w:szCs w:val="20"/>
        </w:rPr>
        <w:t xml:space="preserve">ormulary and </w:t>
      </w:r>
      <w:r>
        <w:rPr>
          <w:i/>
          <w:iCs/>
          <w:sz w:val="20"/>
          <w:szCs w:val="20"/>
        </w:rPr>
        <w:t>H</w:t>
      </w:r>
      <w:r w:rsidRPr="00913EDB">
        <w:rPr>
          <w:i/>
          <w:iCs/>
          <w:sz w:val="20"/>
          <w:szCs w:val="20"/>
        </w:rPr>
        <w:t>andbook</w:t>
      </w:r>
      <w:r>
        <w:rPr>
          <w:i/>
          <w:iCs/>
          <w:sz w:val="20"/>
          <w:szCs w:val="20"/>
        </w:rPr>
        <w:t xml:space="preserve"> </w:t>
      </w:r>
      <w:r>
        <w:rPr>
          <w:sz w:val="20"/>
          <w:szCs w:val="20"/>
        </w:rPr>
        <w:t>which contains I</w:t>
      </w:r>
      <w:r w:rsidRPr="00913EDB">
        <w:rPr>
          <w:sz w:val="20"/>
          <w:szCs w:val="20"/>
        </w:rPr>
        <w:t>nternet addresses on a wide variety of subjects</w:t>
      </w:r>
      <w:r>
        <w:rPr>
          <w:sz w:val="20"/>
          <w:szCs w:val="20"/>
        </w:rPr>
        <w:t xml:space="preserve">. The list also includes </w:t>
      </w:r>
      <w:r w:rsidRPr="00913EDB">
        <w:rPr>
          <w:sz w:val="20"/>
          <w:szCs w:val="20"/>
        </w:rPr>
        <w:t>Australian</w:t>
      </w:r>
      <w:r>
        <w:rPr>
          <w:sz w:val="20"/>
          <w:szCs w:val="20"/>
        </w:rPr>
        <w:t xml:space="preserve"> Commonwealth</w:t>
      </w:r>
      <w:r w:rsidRPr="00913EDB">
        <w:rPr>
          <w:sz w:val="20"/>
          <w:szCs w:val="20"/>
        </w:rPr>
        <w:t xml:space="preserve">, </w:t>
      </w:r>
      <w:r>
        <w:rPr>
          <w:sz w:val="20"/>
          <w:szCs w:val="20"/>
        </w:rPr>
        <w:t>s</w:t>
      </w:r>
      <w:r w:rsidRPr="00913EDB">
        <w:rPr>
          <w:sz w:val="20"/>
          <w:szCs w:val="20"/>
        </w:rPr>
        <w:t xml:space="preserve">tate and </w:t>
      </w:r>
      <w:r>
        <w:rPr>
          <w:sz w:val="20"/>
          <w:szCs w:val="20"/>
        </w:rPr>
        <w:t>t</w:t>
      </w:r>
      <w:r w:rsidRPr="00913EDB">
        <w:rPr>
          <w:sz w:val="20"/>
          <w:szCs w:val="20"/>
        </w:rPr>
        <w:t>erritory acts and regulations, and a number of additional references</w:t>
      </w:r>
      <w:r>
        <w:rPr>
          <w:sz w:val="20"/>
          <w:szCs w:val="20"/>
        </w:rPr>
        <w:t>,</w:t>
      </w:r>
      <w:r w:rsidRPr="00913EDB">
        <w:rPr>
          <w:sz w:val="20"/>
          <w:szCs w:val="20"/>
        </w:rPr>
        <w:t xml:space="preserve"> </w:t>
      </w:r>
      <w:r>
        <w:rPr>
          <w:sz w:val="20"/>
          <w:szCs w:val="20"/>
        </w:rPr>
        <w:t xml:space="preserve">which </w:t>
      </w:r>
      <w:r w:rsidRPr="00913EDB">
        <w:rPr>
          <w:sz w:val="20"/>
          <w:szCs w:val="20"/>
        </w:rPr>
        <w:t xml:space="preserve">are accessible </w:t>
      </w:r>
      <w:r>
        <w:rPr>
          <w:sz w:val="20"/>
          <w:szCs w:val="20"/>
        </w:rPr>
        <w:t xml:space="preserve">free of charge </w:t>
      </w:r>
      <w:r w:rsidRPr="00913EDB">
        <w:rPr>
          <w:sz w:val="20"/>
          <w:szCs w:val="20"/>
        </w:rPr>
        <w:t>on the Internet.</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C87844"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sidRPr="00913EDB">
        <w:rPr>
          <w:sz w:val="20"/>
          <w:szCs w:val="20"/>
        </w:rPr>
        <w:t>Pharmacists must be able to readily access contemporary works of professional reference in either conventional or electronic forms. The information is to be immediately available to the pharmacist during the clinical assessment, reviewing, dispensing and counselling processes.</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913EDB">
        <w:rPr>
          <w:sz w:val="20"/>
          <w:szCs w:val="20"/>
        </w:rPr>
        <w:t xml:space="preserve">In addition to accessing the references listed in </w:t>
      </w:r>
      <w:r>
        <w:rPr>
          <w:sz w:val="20"/>
          <w:szCs w:val="20"/>
        </w:rPr>
        <w:t>this</w:t>
      </w:r>
      <w:r w:rsidRPr="00913EDB">
        <w:rPr>
          <w:sz w:val="20"/>
          <w:szCs w:val="20"/>
        </w:rPr>
        <w:t xml:space="preserve"> </w:t>
      </w:r>
      <w:r>
        <w:rPr>
          <w:iCs/>
          <w:sz w:val="20"/>
          <w:szCs w:val="20"/>
        </w:rPr>
        <w:t>g</w:t>
      </w:r>
      <w:r w:rsidRPr="0092199B">
        <w:rPr>
          <w:iCs/>
          <w:sz w:val="20"/>
          <w:szCs w:val="20"/>
        </w:rPr>
        <w:t>uideline</w:t>
      </w:r>
      <w:r w:rsidRPr="00913EDB">
        <w:rPr>
          <w:i/>
          <w:iCs/>
          <w:sz w:val="20"/>
          <w:szCs w:val="20"/>
        </w:rPr>
        <w:t xml:space="preserve"> </w:t>
      </w:r>
      <w:r w:rsidRPr="00913EDB">
        <w:rPr>
          <w:sz w:val="20"/>
          <w:szCs w:val="20"/>
        </w:rPr>
        <w:t xml:space="preserve">during the clinical assessment, reviewing, dispensing and counselling processes, pharmacists should use additional references </w:t>
      </w:r>
      <w:r>
        <w:rPr>
          <w:sz w:val="20"/>
          <w:szCs w:val="20"/>
        </w:rPr>
        <w:t xml:space="preserve">specific and </w:t>
      </w:r>
      <w:r w:rsidRPr="00913EDB">
        <w:rPr>
          <w:sz w:val="20"/>
          <w:szCs w:val="20"/>
        </w:rPr>
        <w:t xml:space="preserve">relevant to their </w:t>
      </w:r>
      <w:r>
        <w:rPr>
          <w:sz w:val="20"/>
          <w:szCs w:val="20"/>
        </w:rPr>
        <w:t>scope</w:t>
      </w:r>
      <w:r w:rsidRPr="00913EDB">
        <w:rPr>
          <w:sz w:val="20"/>
          <w:szCs w:val="20"/>
        </w:rPr>
        <w:t xml:space="preserve"> of practice</w:t>
      </w:r>
      <w:r>
        <w:rPr>
          <w:sz w:val="20"/>
          <w:szCs w:val="20"/>
        </w:rPr>
        <w:t xml:space="preserve"> (refer to the Board’s </w:t>
      </w:r>
      <w:r>
        <w:rPr>
          <w:i/>
          <w:sz w:val="20"/>
          <w:szCs w:val="20"/>
        </w:rPr>
        <w:t xml:space="preserve">Guidelines on compounding of medicines </w:t>
      </w:r>
      <w:r>
        <w:rPr>
          <w:sz w:val="20"/>
          <w:szCs w:val="20"/>
        </w:rPr>
        <w:t>for examples of additional reference texts for compounding pharmacists)</w:t>
      </w:r>
      <w:r w:rsidRPr="00913EDB">
        <w:rPr>
          <w:sz w:val="20"/>
          <w:szCs w:val="20"/>
        </w:rPr>
        <w:t>. Consideration should also be given to accessing reference</w:t>
      </w:r>
      <w:r>
        <w:rPr>
          <w:sz w:val="20"/>
          <w:szCs w:val="20"/>
        </w:rPr>
        <w:t xml:space="preserve"> </w:t>
      </w:r>
      <w:r w:rsidRPr="00913EDB">
        <w:rPr>
          <w:sz w:val="20"/>
          <w:szCs w:val="20"/>
        </w:rPr>
        <w:t xml:space="preserve">material which provides information in the Australian context. </w:t>
      </w:r>
      <w:r>
        <w:rPr>
          <w:sz w:val="20"/>
          <w:szCs w:val="20"/>
        </w:rPr>
        <w:t>At any one time, p</w:t>
      </w:r>
      <w:r w:rsidRPr="00913EDB">
        <w:rPr>
          <w:sz w:val="20"/>
          <w:szCs w:val="20"/>
        </w:rPr>
        <w:t>harmacists may need to use more than one reference to ensure that all current and relevant information is accessed.</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913EDB">
        <w:rPr>
          <w:sz w:val="20"/>
          <w:szCs w:val="20"/>
        </w:rPr>
        <w:t xml:space="preserve">While it is the pharmacy owner’s responsibility to provide the resources, it is the responsibility of the pharmacist to ensure prescribed references are readily available and accessed when required. As part of the premises approval process, </w:t>
      </w:r>
      <w:r>
        <w:rPr>
          <w:sz w:val="20"/>
          <w:szCs w:val="20"/>
        </w:rPr>
        <w:t>the s</w:t>
      </w:r>
      <w:r w:rsidRPr="00913EDB">
        <w:rPr>
          <w:sz w:val="20"/>
          <w:szCs w:val="20"/>
        </w:rPr>
        <w:t xml:space="preserve">tate or </w:t>
      </w:r>
      <w:r>
        <w:rPr>
          <w:sz w:val="20"/>
          <w:szCs w:val="20"/>
        </w:rPr>
        <w:t>t</w:t>
      </w:r>
      <w:r w:rsidRPr="00913EDB">
        <w:rPr>
          <w:sz w:val="20"/>
          <w:szCs w:val="20"/>
        </w:rPr>
        <w:t xml:space="preserve">erritory pharmacy premises </w:t>
      </w:r>
      <w:r>
        <w:rPr>
          <w:sz w:val="20"/>
          <w:szCs w:val="20"/>
        </w:rPr>
        <w:t xml:space="preserve">registering </w:t>
      </w:r>
      <w:r w:rsidRPr="00913EDB">
        <w:rPr>
          <w:sz w:val="20"/>
          <w:szCs w:val="20"/>
        </w:rPr>
        <w:t>authorit</w:t>
      </w:r>
      <w:r>
        <w:rPr>
          <w:sz w:val="20"/>
          <w:szCs w:val="20"/>
        </w:rPr>
        <w:t>y</w:t>
      </w:r>
      <w:r w:rsidRPr="00913EDB">
        <w:rPr>
          <w:sz w:val="20"/>
          <w:szCs w:val="20"/>
        </w:rPr>
        <w:t xml:space="preserve"> </w:t>
      </w:r>
      <w:r>
        <w:rPr>
          <w:sz w:val="20"/>
          <w:szCs w:val="20"/>
        </w:rPr>
        <w:t xml:space="preserve">or responsible body </w:t>
      </w:r>
      <w:r w:rsidRPr="00913EDB">
        <w:rPr>
          <w:sz w:val="20"/>
          <w:szCs w:val="20"/>
        </w:rPr>
        <w:t>may prescribe particular references in addition to those shown on the Board’s website.</w:t>
      </w:r>
    </w:p>
    <w:p w:rsidR="00797945" w:rsidRPr="00913EDB" w:rsidRDefault="00797945" w:rsidP="00797945">
      <w:pPr>
        <w:autoSpaceDE w:val="0"/>
        <w:autoSpaceDN w:val="0"/>
        <w:adjustRightInd w:val="0"/>
        <w:rPr>
          <w:sz w:val="20"/>
          <w:szCs w:val="20"/>
        </w:rPr>
      </w:pPr>
    </w:p>
    <w:p w:rsidR="00797945" w:rsidRPr="00D3403E" w:rsidRDefault="00797945" w:rsidP="00797945">
      <w:pPr>
        <w:pStyle w:val="AHPRASubhead"/>
      </w:pPr>
      <w:r w:rsidRPr="00F63BDC">
        <w:t xml:space="preserve">2 </w:t>
      </w:r>
      <w:r w:rsidRPr="00F63BDC">
        <w:tab/>
        <w:t>Drugs of abuse</w:t>
      </w:r>
    </w:p>
    <w:p w:rsidR="00797945" w:rsidRDefault="00797945" w:rsidP="00797945">
      <w:pPr>
        <w:autoSpaceDE w:val="0"/>
        <w:autoSpaceDN w:val="0"/>
        <w:adjustRightInd w:val="0"/>
        <w:rPr>
          <w:sz w:val="20"/>
          <w:szCs w:val="20"/>
        </w:rPr>
      </w:pPr>
      <w:r w:rsidRPr="00913EDB">
        <w:rPr>
          <w:sz w:val="20"/>
          <w:szCs w:val="20"/>
        </w:rPr>
        <w:t xml:space="preserve">As part of their continuing professional </w:t>
      </w:r>
      <w:r>
        <w:rPr>
          <w:sz w:val="20"/>
          <w:szCs w:val="20"/>
        </w:rPr>
        <w:t>development</w:t>
      </w:r>
      <w:r w:rsidRPr="00913EDB">
        <w:rPr>
          <w:sz w:val="20"/>
          <w:szCs w:val="20"/>
        </w:rPr>
        <w:t>, pharmacists are expected to have a contemporary knowledge of the drugs that are subject to abuse or misuse, both generally and in their own localities.</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sidRPr="00913EDB">
        <w:rPr>
          <w:sz w:val="20"/>
          <w:szCs w:val="20"/>
        </w:rPr>
        <w:t>Keeping abreast of the Australian professional literature and the public media</w:t>
      </w:r>
      <w:r>
        <w:rPr>
          <w:sz w:val="20"/>
          <w:szCs w:val="20"/>
        </w:rPr>
        <w:t xml:space="preserve"> relating to drugs of abuse,</w:t>
      </w:r>
      <w:r w:rsidRPr="00913EDB">
        <w:rPr>
          <w:sz w:val="20"/>
          <w:szCs w:val="20"/>
        </w:rPr>
        <w:t xml:space="preserve"> and engagement with colleagues</w:t>
      </w:r>
      <w:r>
        <w:rPr>
          <w:sz w:val="20"/>
          <w:szCs w:val="20"/>
        </w:rPr>
        <w:t>,</w:t>
      </w:r>
      <w:r w:rsidRPr="00913EDB">
        <w:rPr>
          <w:sz w:val="20"/>
          <w:szCs w:val="20"/>
        </w:rPr>
        <w:t xml:space="preserve"> is strongly recommended.</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913EDB">
        <w:rPr>
          <w:sz w:val="20"/>
          <w:szCs w:val="20"/>
        </w:rPr>
        <w:t xml:space="preserve">Requests for drugs to which this </w:t>
      </w:r>
      <w:r>
        <w:rPr>
          <w:sz w:val="20"/>
          <w:szCs w:val="20"/>
        </w:rPr>
        <w:t>guideline</w:t>
      </w:r>
      <w:r w:rsidRPr="00913EDB">
        <w:rPr>
          <w:sz w:val="20"/>
          <w:szCs w:val="20"/>
        </w:rPr>
        <w:t xml:space="preserve"> relates are to be treated </w:t>
      </w:r>
      <w:r>
        <w:rPr>
          <w:sz w:val="20"/>
          <w:szCs w:val="20"/>
        </w:rPr>
        <w:t>cautiously</w:t>
      </w:r>
      <w:r w:rsidRPr="00913EDB">
        <w:rPr>
          <w:sz w:val="20"/>
          <w:szCs w:val="20"/>
        </w:rPr>
        <w:t xml:space="preserve"> because of manipulative behaviour on the part of drug seekers. A genuine therapeutic need is to be established by careful questioning. A pharmacist supplying potential drugs of abuse to a patient must comply with all relevant </w:t>
      </w:r>
      <w:r>
        <w:rPr>
          <w:sz w:val="20"/>
          <w:szCs w:val="20"/>
        </w:rPr>
        <w:t>s</w:t>
      </w:r>
      <w:r w:rsidRPr="00913EDB">
        <w:rPr>
          <w:sz w:val="20"/>
          <w:szCs w:val="20"/>
        </w:rPr>
        <w:t xml:space="preserve">tate or </w:t>
      </w:r>
      <w:r>
        <w:rPr>
          <w:sz w:val="20"/>
          <w:szCs w:val="20"/>
        </w:rPr>
        <w:t>t</w:t>
      </w:r>
      <w:r w:rsidRPr="00913EDB">
        <w:rPr>
          <w:sz w:val="20"/>
          <w:szCs w:val="20"/>
        </w:rPr>
        <w:t xml:space="preserve">erritory, and Commonwealth legislation, Pharmacy Board of Australia </w:t>
      </w:r>
      <w:r w:rsidRPr="00913EDB">
        <w:rPr>
          <w:i/>
          <w:iCs/>
          <w:sz w:val="20"/>
          <w:szCs w:val="20"/>
        </w:rPr>
        <w:t xml:space="preserve">Guidelines for </w:t>
      </w:r>
      <w:r>
        <w:rPr>
          <w:i/>
          <w:iCs/>
          <w:sz w:val="20"/>
          <w:szCs w:val="20"/>
        </w:rPr>
        <w:t>d</w:t>
      </w:r>
      <w:r w:rsidRPr="00913EDB">
        <w:rPr>
          <w:i/>
          <w:iCs/>
          <w:sz w:val="20"/>
          <w:szCs w:val="20"/>
        </w:rPr>
        <w:t xml:space="preserve">ispensing of </w:t>
      </w:r>
      <w:r>
        <w:rPr>
          <w:i/>
          <w:iCs/>
          <w:sz w:val="20"/>
          <w:szCs w:val="20"/>
        </w:rPr>
        <w:t>m</w:t>
      </w:r>
      <w:r w:rsidRPr="00913EDB">
        <w:rPr>
          <w:i/>
          <w:iCs/>
          <w:sz w:val="20"/>
          <w:szCs w:val="20"/>
        </w:rPr>
        <w:t>edicines</w:t>
      </w:r>
      <w:r w:rsidRPr="00913EDB">
        <w:rPr>
          <w:sz w:val="20"/>
          <w:szCs w:val="20"/>
        </w:rPr>
        <w:t>, and established practice standards</w:t>
      </w:r>
      <w:r>
        <w:rPr>
          <w:sz w:val="20"/>
          <w:szCs w:val="20"/>
        </w:rPr>
        <w:t xml:space="preserve"> and guidelines</w:t>
      </w:r>
      <w:r w:rsidRPr="00913EDB">
        <w:rPr>
          <w:sz w:val="20"/>
          <w:szCs w:val="20"/>
        </w:rPr>
        <w:t>.</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913EDB">
        <w:rPr>
          <w:sz w:val="20"/>
          <w:szCs w:val="20"/>
        </w:rPr>
        <w:t xml:space="preserve">Evidence of any developing trend in the use of drugs of abuse should be communicated to the authorities, such as the </w:t>
      </w:r>
      <w:r>
        <w:rPr>
          <w:sz w:val="20"/>
          <w:szCs w:val="20"/>
        </w:rPr>
        <w:t>s</w:t>
      </w:r>
      <w:r w:rsidRPr="00913EDB">
        <w:rPr>
          <w:sz w:val="20"/>
          <w:szCs w:val="20"/>
        </w:rPr>
        <w:t xml:space="preserve">tate or </w:t>
      </w:r>
      <w:r>
        <w:rPr>
          <w:sz w:val="20"/>
          <w:szCs w:val="20"/>
        </w:rPr>
        <w:t>t</w:t>
      </w:r>
      <w:r w:rsidRPr="00913EDB">
        <w:rPr>
          <w:sz w:val="20"/>
          <w:szCs w:val="20"/>
        </w:rPr>
        <w:t>erritory health authority, and to colleagues and professional bodies</w:t>
      </w:r>
      <w:r>
        <w:rPr>
          <w:sz w:val="20"/>
          <w:szCs w:val="20"/>
        </w:rPr>
        <w:t>, for example a notable increase in the presentation of prescriptions for a particular medicine subject to abuse</w:t>
      </w:r>
      <w:r w:rsidRPr="00913EDB">
        <w:rPr>
          <w:sz w:val="20"/>
          <w:szCs w:val="20"/>
        </w:rPr>
        <w:t>.</w:t>
      </w:r>
    </w:p>
    <w:p w:rsidR="00797945" w:rsidRPr="00913EDB" w:rsidRDefault="00797945" w:rsidP="00797945">
      <w:pPr>
        <w:autoSpaceDE w:val="0"/>
        <w:autoSpaceDN w:val="0"/>
        <w:adjustRightInd w:val="0"/>
        <w:rPr>
          <w:sz w:val="20"/>
          <w:szCs w:val="20"/>
        </w:rPr>
      </w:pPr>
    </w:p>
    <w:p w:rsidR="00B65D31" w:rsidRDefault="00B65D31" w:rsidP="00797945">
      <w:pPr>
        <w:pStyle w:val="AHPRASubhead"/>
      </w:pPr>
    </w:p>
    <w:p w:rsidR="00B65D31" w:rsidRDefault="00B65D31" w:rsidP="00797945">
      <w:pPr>
        <w:pStyle w:val="AHPRASubhead"/>
      </w:pPr>
    </w:p>
    <w:p w:rsidR="00797945" w:rsidRPr="00D3403E" w:rsidRDefault="00797945" w:rsidP="00797945">
      <w:pPr>
        <w:pStyle w:val="AHPRASubhead"/>
      </w:pPr>
      <w:r w:rsidRPr="00F63BDC">
        <w:lastRenderedPageBreak/>
        <w:t xml:space="preserve">3 </w:t>
      </w:r>
      <w:r w:rsidRPr="00F63BDC">
        <w:tab/>
        <w:t>Pseudoephedrine</w:t>
      </w:r>
    </w:p>
    <w:p w:rsidR="00797945" w:rsidRDefault="00797945" w:rsidP="00797945">
      <w:pPr>
        <w:autoSpaceDE w:val="0"/>
        <w:autoSpaceDN w:val="0"/>
        <w:adjustRightInd w:val="0"/>
        <w:rPr>
          <w:sz w:val="20"/>
          <w:szCs w:val="20"/>
        </w:rPr>
      </w:pPr>
      <w:r w:rsidRPr="00913EDB">
        <w:rPr>
          <w:sz w:val="20"/>
          <w:szCs w:val="20"/>
        </w:rPr>
        <w:t xml:space="preserve">Pseudoephedrine is used as a precursor in the illicit manufacture of amphetamines. It is extracted from products in which pseudoephedrine is the sole active ingredient or is one of several active ingredients. </w:t>
      </w:r>
      <w:r>
        <w:rPr>
          <w:sz w:val="20"/>
          <w:szCs w:val="20"/>
        </w:rPr>
        <w:t>Additional</w:t>
      </w:r>
      <w:r w:rsidRPr="00913EDB">
        <w:rPr>
          <w:sz w:val="20"/>
          <w:szCs w:val="20"/>
        </w:rPr>
        <w:t xml:space="preserve"> obligations, which vary between </w:t>
      </w:r>
      <w:r>
        <w:rPr>
          <w:sz w:val="20"/>
          <w:szCs w:val="20"/>
        </w:rPr>
        <w:t>s</w:t>
      </w:r>
      <w:r w:rsidRPr="00913EDB">
        <w:rPr>
          <w:sz w:val="20"/>
          <w:szCs w:val="20"/>
        </w:rPr>
        <w:t xml:space="preserve">tates and </w:t>
      </w:r>
      <w:r>
        <w:rPr>
          <w:sz w:val="20"/>
          <w:szCs w:val="20"/>
        </w:rPr>
        <w:t>t</w:t>
      </w:r>
      <w:r w:rsidRPr="00913EDB">
        <w:rPr>
          <w:sz w:val="20"/>
          <w:szCs w:val="20"/>
        </w:rPr>
        <w:t xml:space="preserve">erritories, </w:t>
      </w:r>
      <w:r>
        <w:rPr>
          <w:sz w:val="20"/>
          <w:szCs w:val="20"/>
        </w:rPr>
        <w:t xml:space="preserve">apply to </w:t>
      </w:r>
      <w:r w:rsidRPr="00913EDB">
        <w:rPr>
          <w:sz w:val="20"/>
          <w:szCs w:val="20"/>
        </w:rPr>
        <w:t>pharmacists</w:t>
      </w:r>
      <w:r>
        <w:rPr>
          <w:sz w:val="20"/>
          <w:szCs w:val="20"/>
        </w:rPr>
        <w:t xml:space="preserve"> when responding to </w:t>
      </w:r>
      <w:r w:rsidRPr="00913EDB">
        <w:rPr>
          <w:sz w:val="20"/>
          <w:szCs w:val="20"/>
        </w:rPr>
        <w:t>requests</w:t>
      </w:r>
      <w:r>
        <w:rPr>
          <w:sz w:val="20"/>
          <w:szCs w:val="20"/>
        </w:rPr>
        <w:t xml:space="preserve"> for pseudoephedrine-containing </w:t>
      </w:r>
      <w:r w:rsidRPr="00913EDB">
        <w:rPr>
          <w:sz w:val="20"/>
          <w:szCs w:val="20"/>
        </w:rPr>
        <w:t>products.</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sidRPr="00913EDB">
        <w:rPr>
          <w:sz w:val="20"/>
          <w:szCs w:val="20"/>
        </w:rPr>
        <w:t xml:space="preserve">Requests for pseudoephedrine are to be treated </w:t>
      </w:r>
      <w:r>
        <w:rPr>
          <w:sz w:val="20"/>
          <w:szCs w:val="20"/>
        </w:rPr>
        <w:t>cautiously</w:t>
      </w:r>
      <w:r w:rsidRPr="00913EDB">
        <w:rPr>
          <w:sz w:val="20"/>
          <w:szCs w:val="20"/>
        </w:rPr>
        <w:t xml:space="preserve"> </w:t>
      </w:r>
      <w:r>
        <w:rPr>
          <w:sz w:val="20"/>
          <w:szCs w:val="20"/>
        </w:rPr>
        <w:t>to limit the risk of the product being diverted for illicit use/manufacture</w:t>
      </w:r>
      <w:r w:rsidRPr="00913EDB">
        <w:rPr>
          <w:sz w:val="20"/>
          <w:szCs w:val="20"/>
        </w:rPr>
        <w:t>. A genuine therapeutic need is to be established by careful questioning, including when requested on prescription.</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913EDB">
        <w:rPr>
          <w:sz w:val="20"/>
          <w:szCs w:val="20"/>
        </w:rPr>
        <w:t>Only one</w:t>
      </w:r>
      <w:r>
        <w:rPr>
          <w:sz w:val="20"/>
          <w:szCs w:val="20"/>
        </w:rPr>
        <w:t xml:space="preserve"> proprietary pack</w:t>
      </w:r>
      <w:r w:rsidRPr="00913EDB">
        <w:rPr>
          <w:sz w:val="20"/>
          <w:szCs w:val="20"/>
        </w:rPr>
        <w:t xml:space="preserve"> is to be supplied at a time unless there are exceptional circumstances</w:t>
      </w:r>
      <w:r>
        <w:rPr>
          <w:sz w:val="20"/>
          <w:szCs w:val="20"/>
        </w:rPr>
        <w:t xml:space="preserve"> clearly demonstrated by the customer or communicated by the prescriber</w:t>
      </w:r>
      <w:r w:rsidRPr="00913EDB">
        <w:rPr>
          <w:sz w:val="20"/>
          <w:szCs w:val="20"/>
        </w:rPr>
        <w:t xml:space="preserve">, </w:t>
      </w:r>
      <w:r>
        <w:rPr>
          <w:sz w:val="20"/>
          <w:szCs w:val="20"/>
        </w:rPr>
        <w:t xml:space="preserve">additional </w:t>
      </w:r>
      <w:r w:rsidRPr="00913EDB">
        <w:rPr>
          <w:sz w:val="20"/>
          <w:szCs w:val="20"/>
        </w:rPr>
        <w:t>documentation of which should be kept. The sale of multiple packs of pseudoephedrine-containing products (other than in exceptional circumstances</w:t>
      </w:r>
      <w:r>
        <w:rPr>
          <w:sz w:val="20"/>
          <w:szCs w:val="20"/>
        </w:rPr>
        <w:t xml:space="preserve"> and when appropriately prescribed by an authorised prescriber</w:t>
      </w:r>
      <w:r w:rsidRPr="00913EDB">
        <w:rPr>
          <w:sz w:val="20"/>
          <w:szCs w:val="20"/>
        </w:rPr>
        <w:t>) and failure to comply with the local regulations applying to Schedule 3</w:t>
      </w:r>
      <w:r>
        <w:rPr>
          <w:sz w:val="20"/>
          <w:szCs w:val="20"/>
        </w:rPr>
        <w:t xml:space="preserve"> poisons</w:t>
      </w:r>
      <w:r w:rsidRPr="00913EDB">
        <w:rPr>
          <w:sz w:val="20"/>
          <w:szCs w:val="20"/>
        </w:rPr>
        <w:t xml:space="preserve"> (</w:t>
      </w:r>
      <w:r>
        <w:rPr>
          <w:sz w:val="20"/>
          <w:szCs w:val="20"/>
        </w:rPr>
        <w:t>P</w:t>
      </w:r>
      <w:r w:rsidRPr="00913EDB">
        <w:rPr>
          <w:sz w:val="20"/>
          <w:szCs w:val="20"/>
        </w:rPr>
        <w:t xml:space="preserve">harmacist </w:t>
      </w:r>
      <w:r>
        <w:rPr>
          <w:sz w:val="20"/>
          <w:szCs w:val="20"/>
        </w:rPr>
        <w:t>O</w:t>
      </w:r>
      <w:r w:rsidRPr="00913EDB">
        <w:rPr>
          <w:sz w:val="20"/>
          <w:szCs w:val="20"/>
        </w:rPr>
        <w:t>nly</w:t>
      </w:r>
      <w:r>
        <w:rPr>
          <w:sz w:val="20"/>
          <w:szCs w:val="20"/>
        </w:rPr>
        <w:t xml:space="preserve"> Medicines</w:t>
      </w:r>
      <w:r w:rsidRPr="00913EDB">
        <w:rPr>
          <w:sz w:val="20"/>
          <w:szCs w:val="20"/>
        </w:rPr>
        <w:t>) and these guidelines may be considered as unprofessional conduct.</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Stock levels should be minimal in accordance with the sales history of the pharmacy and any relevant security issues. Bulk supplies should be avoided and any reserve stock kept out of public view.</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The Board endorses the use of a real-time online monitoring system (e.g. Project STOP), as a means of assisting the pharmacist in determining whether pseudoephedrine should be supplied when a person requests it, noting that this may also involve communicating suspicious requests to the section of the police that deals with drug crimes. All purchases, including those on prescription, should be entered on this system</w:t>
      </w:r>
      <w:r w:rsidRPr="00534D88">
        <w:rPr>
          <w:sz w:val="20"/>
          <w:szCs w:val="20"/>
        </w:rPr>
        <w:t>.</w:t>
      </w:r>
    </w:p>
    <w:p w:rsidR="00797945" w:rsidRPr="00534D88" w:rsidRDefault="00797945" w:rsidP="00797945">
      <w:pPr>
        <w:autoSpaceDE w:val="0"/>
        <w:autoSpaceDN w:val="0"/>
        <w:adjustRightInd w:val="0"/>
        <w:rPr>
          <w:sz w:val="20"/>
          <w:szCs w:val="20"/>
        </w:rPr>
      </w:pPr>
    </w:p>
    <w:p w:rsidR="00797945" w:rsidRPr="00D3403E" w:rsidRDefault="00797945" w:rsidP="00797945">
      <w:pPr>
        <w:pStyle w:val="AHPRASubhead"/>
        <w:ind w:left="709" w:hanging="709"/>
        <w:rPr>
          <w:bCs/>
          <w:lang w:val="en-GB"/>
        </w:rPr>
      </w:pPr>
      <w:r w:rsidRPr="00F63BDC">
        <w:rPr>
          <w:bCs/>
        </w:rPr>
        <w:t>4</w:t>
      </w:r>
      <w:r w:rsidRPr="00F63BDC">
        <w:rPr>
          <w:bCs/>
        </w:rPr>
        <w:tab/>
      </w:r>
      <w:r w:rsidRPr="00F63BDC">
        <w:rPr>
          <w:bCs/>
          <w:lang w:val="en-GB"/>
        </w:rPr>
        <w:t>Supply of Schedule 2 poisons (Pharmacy Medicines) and Schedule 3 poisons (Pharmacist Only Medicines)</w:t>
      </w:r>
    </w:p>
    <w:p w:rsidR="00797945" w:rsidRDefault="00797945" w:rsidP="00797945">
      <w:pPr>
        <w:autoSpaceDE w:val="0"/>
        <w:autoSpaceDN w:val="0"/>
        <w:adjustRightInd w:val="0"/>
        <w:rPr>
          <w:sz w:val="20"/>
          <w:szCs w:val="20"/>
        </w:rPr>
      </w:pPr>
      <w:r>
        <w:rPr>
          <w:sz w:val="20"/>
          <w:szCs w:val="20"/>
        </w:rPr>
        <w:t xml:space="preserve">In addition to any statutory requirements applicable to the </w:t>
      </w:r>
      <w:r>
        <w:rPr>
          <w:bCs/>
          <w:sz w:val="20"/>
          <w:szCs w:val="20"/>
          <w:lang w:val="en-GB"/>
        </w:rPr>
        <w:t>s</w:t>
      </w:r>
      <w:r w:rsidRPr="008962D9">
        <w:rPr>
          <w:bCs/>
          <w:sz w:val="20"/>
          <w:szCs w:val="20"/>
          <w:lang w:val="en-GB"/>
        </w:rPr>
        <w:t>upply of Schedule 2 poisons (Pharmacy Medicines) and Schedule 3 poisons (Pharmacist Only Medicines)</w:t>
      </w:r>
      <w:r>
        <w:rPr>
          <w:sz w:val="20"/>
          <w:szCs w:val="20"/>
        </w:rPr>
        <w:t>, the Board has regard to the</w:t>
      </w:r>
      <w:r w:rsidR="002C12B6">
        <w:rPr>
          <w:sz w:val="20"/>
          <w:szCs w:val="20"/>
        </w:rPr>
        <w:t xml:space="preserve"> relevant practice standards and guidelines, </w:t>
      </w:r>
      <w:r>
        <w:rPr>
          <w:sz w:val="20"/>
          <w:szCs w:val="20"/>
        </w:rPr>
        <w:t>and any substance-specific protocols and quality-assurance standards.</w:t>
      </w:r>
      <w:r w:rsidR="00BF2863">
        <w:rPr>
          <w:rStyle w:val="FootnoteReference"/>
          <w:szCs w:val="20"/>
        </w:rPr>
        <w:footnoteReference w:id="2"/>
      </w:r>
    </w:p>
    <w:p w:rsidR="00797945" w:rsidRPr="00534D88"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Pr>
          <w:sz w:val="20"/>
          <w:szCs w:val="20"/>
        </w:rPr>
        <w:t>Staff members need to be trained to ask specific questions of intending purchasers of Pharmacy Medicines and Pharmacist Only Medicines. This should include (but is not limited to) questioning the purchaser about other medication they are taking, including complementary and alternative medicine. Any queries relating to Pharmacy Medicines or unscheduled medicines that arise from the person’s response should be referred to a pharmacist. All requests relating to Pharmacist Only Medicines must be referred to a pharmacist.</w:t>
      </w:r>
    </w:p>
    <w:p w:rsidR="00797945" w:rsidRPr="00534D88"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Pharmacists are reminded that particular statutory obligations relating to the supply of Pharmacist Only Medicines must be observed. The pharmacist must be satisfied that there is a therapeutic need. This means more than agreeing to supply the medicine on request, or merely asking patients if they have used the medicine previously and know how to use it.</w:t>
      </w:r>
    </w:p>
    <w:p w:rsidR="00797945" w:rsidRPr="00534D88"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EC18A4">
        <w:rPr>
          <w:sz w:val="20"/>
          <w:szCs w:val="20"/>
        </w:rPr>
        <w:t>Only one proprietary pack of Pharmacy Medicines and Pharmacist Only Medicines</w:t>
      </w:r>
      <w:r>
        <w:rPr>
          <w:sz w:val="20"/>
          <w:szCs w:val="20"/>
        </w:rPr>
        <w:t xml:space="preserve"> is to be supplied at a time</w:t>
      </w:r>
      <w:r w:rsidRPr="00EC18A4">
        <w:rPr>
          <w:sz w:val="20"/>
          <w:szCs w:val="20"/>
        </w:rPr>
        <w:t>, unless there are exceptional circumstances clearly demonstrable by the customer</w:t>
      </w:r>
      <w:r>
        <w:rPr>
          <w:sz w:val="20"/>
          <w:szCs w:val="20"/>
        </w:rPr>
        <w:t>, additional documentation of which should be kept</w:t>
      </w:r>
      <w:r w:rsidRPr="00EC18A4">
        <w:rPr>
          <w:sz w:val="20"/>
          <w:szCs w:val="20"/>
        </w:rPr>
        <w:t>.</w:t>
      </w:r>
      <w:r>
        <w:rPr>
          <w:sz w:val="20"/>
          <w:szCs w:val="20"/>
        </w:rPr>
        <w:t xml:space="preserve"> </w:t>
      </w:r>
      <w:r w:rsidRPr="00EC18A4">
        <w:rPr>
          <w:sz w:val="20"/>
          <w:szCs w:val="20"/>
        </w:rPr>
        <w:t>Caution should be exercised when considering requests for supply of multiple packages</w:t>
      </w:r>
      <w:r>
        <w:rPr>
          <w:sz w:val="20"/>
          <w:szCs w:val="20"/>
        </w:rPr>
        <w:t xml:space="preserve">, particularly for drugs subject to abuse or misuse, for example codeine-containing products and products containing pseudoephedrine (also refer to Guideline 3 </w:t>
      </w:r>
      <w:r w:rsidRPr="00F63BDC">
        <w:rPr>
          <w:i/>
          <w:sz w:val="20"/>
          <w:szCs w:val="20"/>
        </w:rPr>
        <w:t>Pseudoephedrine</w:t>
      </w:r>
      <w:r>
        <w:rPr>
          <w:sz w:val="20"/>
          <w:szCs w:val="20"/>
        </w:rPr>
        <w:t>). F</w:t>
      </w:r>
      <w:r w:rsidRPr="00534D88">
        <w:rPr>
          <w:sz w:val="20"/>
          <w:szCs w:val="20"/>
        </w:rPr>
        <w:t xml:space="preserve">ailure to comply with local jurisdiction regulations applying to </w:t>
      </w:r>
      <w:r>
        <w:rPr>
          <w:sz w:val="20"/>
          <w:szCs w:val="20"/>
        </w:rPr>
        <w:t>Pharmacy Medicines and Pharmacist Only Medicines</w:t>
      </w:r>
      <w:r w:rsidRPr="00534D88" w:rsidDel="00EC18A4">
        <w:rPr>
          <w:sz w:val="20"/>
          <w:szCs w:val="20"/>
        </w:rPr>
        <w:t xml:space="preserve"> </w:t>
      </w:r>
      <w:r w:rsidRPr="00534D88">
        <w:rPr>
          <w:sz w:val="20"/>
          <w:szCs w:val="20"/>
        </w:rPr>
        <w:t>and these guidelines may be considered as unprofessional conduct.</w:t>
      </w:r>
    </w:p>
    <w:p w:rsidR="00797945" w:rsidRPr="00913EDB" w:rsidRDefault="00797945" w:rsidP="00797945">
      <w:pPr>
        <w:autoSpaceDE w:val="0"/>
        <w:autoSpaceDN w:val="0"/>
        <w:adjustRightInd w:val="0"/>
        <w:rPr>
          <w:sz w:val="20"/>
          <w:szCs w:val="20"/>
        </w:rPr>
      </w:pPr>
    </w:p>
    <w:p w:rsidR="00797945" w:rsidRPr="00D3403E" w:rsidRDefault="00797945" w:rsidP="00797945">
      <w:pPr>
        <w:pStyle w:val="AHPRASubhead"/>
        <w:ind w:left="709" w:hanging="709"/>
        <w:rPr>
          <w:bCs/>
          <w:lang w:val="en-GB"/>
        </w:rPr>
      </w:pPr>
      <w:r w:rsidRPr="00F63BDC">
        <w:rPr>
          <w:bCs/>
          <w:lang w:val="en-GB"/>
        </w:rPr>
        <w:t xml:space="preserve">5 </w:t>
      </w:r>
      <w:r w:rsidRPr="00F63BDC">
        <w:rPr>
          <w:bCs/>
          <w:lang w:val="en-GB"/>
        </w:rPr>
        <w:tab/>
        <w:t>Complementary and alternative medicines</w:t>
      </w:r>
    </w:p>
    <w:p w:rsidR="00797945" w:rsidRDefault="00797945" w:rsidP="00797945">
      <w:pPr>
        <w:autoSpaceDE w:val="0"/>
        <w:autoSpaceDN w:val="0"/>
        <w:adjustRightInd w:val="0"/>
        <w:rPr>
          <w:sz w:val="20"/>
          <w:szCs w:val="20"/>
        </w:rPr>
      </w:pPr>
      <w:r>
        <w:rPr>
          <w:sz w:val="20"/>
          <w:szCs w:val="20"/>
        </w:rPr>
        <w:t>Complementary and alternative medicine and accompanying advice are often supplied by pharmacists and their staff in the ordinary course of pharmacy practice. A pharmacist may also hold an additional qualification to practise as a complementary and alternative medicine practitioner, as separate and distinct from their practice as a pharmacist.</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Pr>
          <w:sz w:val="20"/>
          <w:szCs w:val="20"/>
        </w:rPr>
        <w:t>When complementary and alternative medicine is provided at a pharmacy, pharmacists should provide products of proven safety and quality. Relevant accompanying advice should be offered to assist patients in making a well informed choice regarding treatment with a complementary or alternative medicine, which should include available information on the potential benefits and harms, and whether there is sufficient evidence to support its proposed use. Where appropriate, pharmacists should incorporate details of the supply of complementary and alternative medicines in the dispensing record and where possible, in the patient’s health record.</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A pharmacist who is also a complementary and alternative medicine practitioner may provide these services in a pharmacy. When consulting clients privately in this capacity, this should be done:</w:t>
      </w:r>
    </w:p>
    <w:p w:rsidR="00797945" w:rsidRDefault="00797945" w:rsidP="00797945">
      <w:pPr>
        <w:autoSpaceDE w:val="0"/>
        <w:autoSpaceDN w:val="0"/>
        <w:adjustRightInd w:val="0"/>
        <w:rPr>
          <w:sz w:val="20"/>
          <w:szCs w:val="20"/>
        </w:rPr>
      </w:pPr>
    </w:p>
    <w:p w:rsidR="00797945" w:rsidRPr="00AF12A1" w:rsidRDefault="00797945" w:rsidP="00797945">
      <w:pPr>
        <w:pStyle w:val="ListParagraph"/>
        <w:numPr>
          <w:ilvl w:val="0"/>
          <w:numId w:val="16"/>
        </w:numPr>
        <w:autoSpaceDE w:val="0"/>
        <w:autoSpaceDN w:val="0"/>
        <w:adjustRightInd w:val="0"/>
        <w:spacing w:line="240" w:lineRule="auto"/>
        <w:ind w:left="714" w:hanging="357"/>
        <w:rPr>
          <w:rFonts w:ascii="Arial" w:hAnsi="Arial" w:cs="Arial"/>
          <w:sz w:val="20"/>
          <w:szCs w:val="20"/>
        </w:rPr>
      </w:pPr>
      <w:r w:rsidRPr="00AF12A1">
        <w:rPr>
          <w:rFonts w:ascii="Arial" w:hAnsi="Arial" w:cs="Arial"/>
          <w:sz w:val="20"/>
          <w:szCs w:val="20"/>
        </w:rPr>
        <w:t xml:space="preserve">in a room that is separate from the dispensary, general trading and professional services areas, and where required by law, approved by the </w:t>
      </w:r>
      <w:r>
        <w:rPr>
          <w:rFonts w:ascii="Arial" w:hAnsi="Arial" w:cs="Arial"/>
          <w:sz w:val="20"/>
          <w:szCs w:val="20"/>
        </w:rPr>
        <w:t>s</w:t>
      </w:r>
      <w:r w:rsidRPr="00AF12A1">
        <w:rPr>
          <w:rFonts w:ascii="Arial" w:hAnsi="Arial" w:cs="Arial"/>
          <w:sz w:val="20"/>
          <w:szCs w:val="20"/>
        </w:rPr>
        <w:t xml:space="preserve">tate or </w:t>
      </w:r>
      <w:r>
        <w:rPr>
          <w:rFonts w:ascii="Arial" w:hAnsi="Arial" w:cs="Arial"/>
          <w:sz w:val="20"/>
          <w:szCs w:val="20"/>
        </w:rPr>
        <w:t>t</w:t>
      </w:r>
      <w:r w:rsidRPr="00AF12A1">
        <w:rPr>
          <w:rFonts w:ascii="Arial" w:hAnsi="Arial" w:cs="Arial"/>
          <w:sz w:val="20"/>
          <w:szCs w:val="20"/>
        </w:rPr>
        <w:t>errit</w:t>
      </w:r>
      <w:r>
        <w:rPr>
          <w:rFonts w:ascii="Arial" w:hAnsi="Arial" w:cs="Arial"/>
          <w:sz w:val="20"/>
          <w:szCs w:val="20"/>
        </w:rPr>
        <w:t>ory pharmacy premises registering authority</w:t>
      </w:r>
    </w:p>
    <w:p w:rsidR="00797945" w:rsidRDefault="00797945" w:rsidP="00797945">
      <w:pPr>
        <w:pStyle w:val="ListParagraph"/>
        <w:numPr>
          <w:ilvl w:val="0"/>
          <w:numId w:val="16"/>
        </w:numPr>
        <w:autoSpaceDE w:val="0"/>
        <w:autoSpaceDN w:val="0"/>
        <w:adjustRightInd w:val="0"/>
        <w:spacing w:line="240" w:lineRule="auto"/>
        <w:ind w:left="714" w:hanging="357"/>
        <w:rPr>
          <w:rFonts w:ascii="Arial" w:hAnsi="Arial" w:cs="Arial"/>
          <w:sz w:val="20"/>
          <w:szCs w:val="20"/>
        </w:rPr>
      </w:pPr>
      <w:r w:rsidRPr="00AF12A1">
        <w:rPr>
          <w:rFonts w:ascii="Arial" w:hAnsi="Arial" w:cs="Arial"/>
          <w:sz w:val="20"/>
          <w:szCs w:val="20"/>
        </w:rPr>
        <w:t xml:space="preserve">in accordance with </w:t>
      </w:r>
      <w:r>
        <w:rPr>
          <w:rFonts w:ascii="Arial" w:hAnsi="Arial" w:cs="Arial"/>
          <w:sz w:val="20"/>
          <w:szCs w:val="20"/>
        </w:rPr>
        <w:t>s</w:t>
      </w:r>
      <w:r w:rsidRPr="00AF12A1">
        <w:rPr>
          <w:rFonts w:ascii="Arial" w:hAnsi="Arial" w:cs="Arial"/>
          <w:sz w:val="20"/>
          <w:szCs w:val="20"/>
        </w:rPr>
        <w:t xml:space="preserve">tate and </w:t>
      </w:r>
      <w:r>
        <w:rPr>
          <w:rFonts w:ascii="Arial" w:hAnsi="Arial" w:cs="Arial"/>
          <w:sz w:val="20"/>
          <w:szCs w:val="20"/>
        </w:rPr>
        <w:t>t</w:t>
      </w:r>
      <w:r w:rsidRPr="00AF12A1">
        <w:rPr>
          <w:rFonts w:ascii="Arial" w:hAnsi="Arial" w:cs="Arial"/>
          <w:sz w:val="20"/>
          <w:szCs w:val="20"/>
        </w:rPr>
        <w:t>erritory regulatory requirements</w:t>
      </w:r>
      <w:r>
        <w:rPr>
          <w:rFonts w:ascii="Arial" w:hAnsi="Arial" w:cs="Arial"/>
          <w:sz w:val="20"/>
          <w:szCs w:val="20"/>
        </w:rPr>
        <w:t>, and</w:t>
      </w:r>
    </w:p>
    <w:p w:rsidR="00797945" w:rsidRPr="007332D0" w:rsidRDefault="00797945" w:rsidP="00797945">
      <w:pPr>
        <w:pStyle w:val="ListParagraph"/>
        <w:numPr>
          <w:ilvl w:val="0"/>
          <w:numId w:val="16"/>
        </w:numPr>
        <w:autoSpaceDE w:val="0"/>
        <w:autoSpaceDN w:val="0"/>
        <w:adjustRightInd w:val="0"/>
        <w:spacing w:line="240" w:lineRule="auto"/>
        <w:ind w:left="720"/>
        <w:contextualSpacing w:val="0"/>
        <w:rPr>
          <w:rFonts w:ascii="Arial" w:hAnsi="Arial" w:cs="Arial"/>
          <w:sz w:val="20"/>
          <w:szCs w:val="20"/>
        </w:rPr>
      </w:pPr>
      <w:r>
        <w:rPr>
          <w:rFonts w:ascii="Arial" w:hAnsi="Arial" w:cs="Arial"/>
          <w:sz w:val="20"/>
          <w:szCs w:val="20"/>
        </w:rPr>
        <w:t>while a</w:t>
      </w:r>
      <w:r w:rsidRPr="00AF12A1">
        <w:rPr>
          <w:rFonts w:ascii="Arial" w:hAnsi="Arial" w:cs="Arial"/>
          <w:sz w:val="20"/>
          <w:szCs w:val="20"/>
        </w:rPr>
        <w:t>nother pharmacist is in charge of the pharmacy</w:t>
      </w:r>
      <w:r>
        <w:rPr>
          <w:rFonts w:ascii="Arial" w:hAnsi="Arial" w:cs="Arial"/>
          <w:sz w:val="20"/>
          <w:szCs w:val="20"/>
        </w:rPr>
        <w:t>.</w:t>
      </w:r>
    </w:p>
    <w:p w:rsidR="00797945" w:rsidRPr="00D3403E" w:rsidRDefault="00797945" w:rsidP="00797945">
      <w:pPr>
        <w:pStyle w:val="AHPRASubhead"/>
        <w:ind w:left="709" w:hanging="709"/>
        <w:rPr>
          <w:bCs/>
          <w:lang w:val="en-GB"/>
        </w:rPr>
      </w:pPr>
      <w:r w:rsidRPr="00F63BDC">
        <w:rPr>
          <w:bCs/>
          <w:lang w:val="en-GB"/>
        </w:rPr>
        <w:t>6</w:t>
      </w:r>
      <w:r w:rsidRPr="00F63BDC">
        <w:rPr>
          <w:bCs/>
          <w:lang w:val="en-GB"/>
        </w:rPr>
        <w:tab/>
        <w:t>Allied health, and complementary and alternative therapy when practised by other persons in the pharmacy</w:t>
      </w:r>
    </w:p>
    <w:p w:rsidR="00797945" w:rsidRDefault="00797945" w:rsidP="00797945">
      <w:pPr>
        <w:autoSpaceDE w:val="0"/>
        <w:autoSpaceDN w:val="0"/>
        <w:adjustRightInd w:val="0"/>
        <w:rPr>
          <w:sz w:val="20"/>
          <w:szCs w:val="20"/>
        </w:rPr>
      </w:pPr>
      <w:r>
        <w:rPr>
          <w:sz w:val="20"/>
          <w:szCs w:val="20"/>
        </w:rPr>
        <w:t xml:space="preserve">An allied health practitioner or complementary and alternative medicine practitioner may practise in a pharmacy premises as either an employee of the pharmacy business, or as a practitioner working independently under a leasing arrangement with the pharmacy business subject to state or territory pharmacy premises registering authority approval.  </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Pr>
          <w:sz w:val="20"/>
          <w:szCs w:val="20"/>
        </w:rPr>
        <w:t>If an allied health practitioner or complementary and alternative medicine practitioner practises in a pharmacy as an employee of the pharmacy business, the activities and services provided must complement the role of the pharmacist and should be provided by suitably qualified practitioners. P</w:t>
      </w:r>
      <w:r w:rsidRPr="00913EDB">
        <w:rPr>
          <w:sz w:val="20"/>
          <w:szCs w:val="20"/>
        </w:rPr>
        <w:t>roprietors and individual pharmacists</w:t>
      </w:r>
      <w:r>
        <w:rPr>
          <w:sz w:val="20"/>
          <w:szCs w:val="20"/>
        </w:rPr>
        <w:t xml:space="preserve"> supervising pharmacy employees are responsible for the </w:t>
      </w:r>
      <w:r w:rsidRPr="00913EDB">
        <w:rPr>
          <w:sz w:val="20"/>
          <w:szCs w:val="20"/>
        </w:rPr>
        <w:t xml:space="preserve">dispensing of </w:t>
      </w:r>
      <w:r>
        <w:rPr>
          <w:sz w:val="20"/>
          <w:szCs w:val="20"/>
        </w:rPr>
        <w:t>complementary and alternative medicine</w:t>
      </w:r>
      <w:r w:rsidRPr="00913EDB">
        <w:rPr>
          <w:sz w:val="20"/>
          <w:szCs w:val="20"/>
        </w:rPr>
        <w:t xml:space="preserve"> and any </w:t>
      </w:r>
      <w:r>
        <w:rPr>
          <w:sz w:val="20"/>
          <w:szCs w:val="20"/>
        </w:rPr>
        <w:t xml:space="preserve">accompanying </w:t>
      </w:r>
      <w:r w:rsidRPr="00913EDB">
        <w:rPr>
          <w:sz w:val="20"/>
          <w:szCs w:val="20"/>
        </w:rPr>
        <w:t xml:space="preserve">advice </w:t>
      </w:r>
      <w:r>
        <w:rPr>
          <w:sz w:val="20"/>
          <w:szCs w:val="20"/>
        </w:rPr>
        <w:t xml:space="preserve">provided </w:t>
      </w:r>
      <w:r w:rsidRPr="00913EDB">
        <w:rPr>
          <w:sz w:val="20"/>
          <w:szCs w:val="20"/>
        </w:rPr>
        <w:t xml:space="preserve">by the employees of </w:t>
      </w:r>
      <w:r>
        <w:rPr>
          <w:sz w:val="20"/>
          <w:szCs w:val="20"/>
        </w:rPr>
        <w:t>the</w:t>
      </w:r>
      <w:r w:rsidRPr="00913EDB">
        <w:rPr>
          <w:sz w:val="20"/>
          <w:szCs w:val="20"/>
        </w:rPr>
        <w:t xml:space="preserve"> pharmacy business.</w:t>
      </w:r>
      <w:r>
        <w:rPr>
          <w:sz w:val="20"/>
          <w:szCs w:val="20"/>
        </w:rPr>
        <w:t xml:space="preserve"> </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D0674A">
        <w:rPr>
          <w:sz w:val="20"/>
          <w:szCs w:val="20"/>
        </w:rPr>
        <w:t xml:space="preserve">Pharmacists </w:t>
      </w:r>
      <w:r>
        <w:rPr>
          <w:sz w:val="20"/>
          <w:szCs w:val="20"/>
        </w:rPr>
        <w:t>must</w:t>
      </w:r>
      <w:r w:rsidRPr="00D0674A">
        <w:rPr>
          <w:sz w:val="20"/>
          <w:szCs w:val="20"/>
        </w:rPr>
        <w:t xml:space="preserve"> ensure that allied health practitioners and complementary </w:t>
      </w:r>
      <w:r>
        <w:rPr>
          <w:sz w:val="20"/>
          <w:szCs w:val="20"/>
        </w:rPr>
        <w:t>and</w:t>
      </w:r>
      <w:r w:rsidRPr="00D0674A">
        <w:rPr>
          <w:sz w:val="20"/>
          <w:szCs w:val="20"/>
        </w:rPr>
        <w:t xml:space="preserve"> alternative </w:t>
      </w:r>
      <w:r>
        <w:rPr>
          <w:sz w:val="20"/>
          <w:szCs w:val="20"/>
        </w:rPr>
        <w:t xml:space="preserve">medicine practitioners </w:t>
      </w:r>
      <w:r w:rsidRPr="00D0674A">
        <w:rPr>
          <w:sz w:val="20"/>
          <w:szCs w:val="20"/>
        </w:rPr>
        <w:t>who are employees of a pharmacy business</w:t>
      </w:r>
      <w:r>
        <w:rPr>
          <w:sz w:val="20"/>
          <w:szCs w:val="20"/>
        </w:rPr>
        <w:t xml:space="preserve"> do not:</w:t>
      </w:r>
    </w:p>
    <w:p w:rsidR="00797945" w:rsidRDefault="00797945" w:rsidP="00797945">
      <w:pPr>
        <w:autoSpaceDE w:val="0"/>
        <w:autoSpaceDN w:val="0"/>
        <w:adjustRightInd w:val="0"/>
        <w:rPr>
          <w:sz w:val="20"/>
          <w:szCs w:val="20"/>
        </w:rPr>
      </w:pPr>
    </w:p>
    <w:p w:rsidR="00797945" w:rsidRDefault="00797945" w:rsidP="00797945">
      <w:pPr>
        <w:pStyle w:val="ListParagraph"/>
        <w:numPr>
          <w:ilvl w:val="0"/>
          <w:numId w:val="16"/>
        </w:numPr>
        <w:autoSpaceDE w:val="0"/>
        <w:autoSpaceDN w:val="0"/>
        <w:adjustRightInd w:val="0"/>
        <w:spacing w:line="240" w:lineRule="auto"/>
        <w:ind w:left="714" w:hanging="357"/>
        <w:rPr>
          <w:rFonts w:ascii="Arial" w:hAnsi="Arial" w:cs="Arial"/>
          <w:sz w:val="20"/>
          <w:szCs w:val="20"/>
        </w:rPr>
      </w:pPr>
      <w:r w:rsidRPr="00D0674A">
        <w:rPr>
          <w:rFonts w:ascii="Arial" w:hAnsi="Arial" w:cs="Arial"/>
          <w:sz w:val="20"/>
          <w:szCs w:val="20"/>
        </w:rPr>
        <w:t>compound or otherwise dispense any medicines at the pharmacy</w:t>
      </w:r>
      <w:r>
        <w:rPr>
          <w:rFonts w:ascii="Arial" w:hAnsi="Arial" w:cs="Arial"/>
          <w:sz w:val="20"/>
          <w:szCs w:val="20"/>
        </w:rPr>
        <w:t>, or</w:t>
      </w:r>
    </w:p>
    <w:p w:rsidR="00797945" w:rsidRDefault="00797945" w:rsidP="00797945">
      <w:pPr>
        <w:pStyle w:val="ListParagraph"/>
        <w:numPr>
          <w:ilvl w:val="0"/>
          <w:numId w:val="16"/>
        </w:numPr>
        <w:autoSpaceDE w:val="0"/>
        <w:autoSpaceDN w:val="0"/>
        <w:adjustRightInd w:val="0"/>
        <w:spacing w:line="240" w:lineRule="auto"/>
        <w:ind w:left="720"/>
        <w:contextualSpacing w:val="0"/>
        <w:rPr>
          <w:rFonts w:ascii="Arial" w:hAnsi="Arial" w:cs="Arial"/>
          <w:sz w:val="20"/>
          <w:szCs w:val="20"/>
        </w:rPr>
      </w:pPr>
      <w:r w:rsidRPr="00D0674A">
        <w:rPr>
          <w:rFonts w:ascii="Arial" w:hAnsi="Arial" w:cs="Arial"/>
          <w:sz w:val="20"/>
          <w:szCs w:val="20"/>
        </w:rPr>
        <w:t>use any dispensing labels relating to the pharmacy</w:t>
      </w:r>
      <w:r>
        <w:rPr>
          <w:rFonts w:ascii="Arial" w:hAnsi="Arial" w:cs="Arial"/>
          <w:sz w:val="20"/>
          <w:szCs w:val="20"/>
        </w:rPr>
        <w:t>.</w:t>
      </w:r>
    </w:p>
    <w:p w:rsidR="00797945" w:rsidRDefault="00797945" w:rsidP="00797945">
      <w:pPr>
        <w:autoSpaceDE w:val="0"/>
        <w:autoSpaceDN w:val="0"/>
        <w:adjustRightInd w:val="0"/>
        <w:rPr>
          <w:sz w:val="20"/>
          <w:szCs w:val="20"/>
        </w:rPr>
      </w:pPr>
      <w:r>
        <w:rPr>
          <w:sz w:val="20"/>
          <w:szCs w:val="20"/>
        </w:rPr>
        <w:t>Where appropriate, pharmacists should incorporate details of the supply of complementary or alternative medicines in the dispensing record and where possible, in the patient’s health record. Separate records of the supply must not be kept by employees of the pharmacy.</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In the case where a p</w:t>
      </w:r>
      <w:r w:rsidRPr="00D0674A">
        <w:rPr>
          <w:sz w:val="20"/>
          <w:szCs w:val="20"/>
        </w:rPr>
        <w:t>harmacist rent</w:t>
      </w:r>
      <w:r>
        <w:rPr>
          <w:sz w:val="20"/>
          <w:szCs w:val="20"/>
        </w:rPr>
        <w:t>s</w:t>
      </w:r>
      <w:r w:rsidRPr="00D0674A">
        <w:rPr>
          <w:sz w:val="20"/>
          <w:szCs w:val="20"/>
        </w:rPr>
        <w:t xml:space="preserve"> or lease</w:t>
      </w:r>
      <w:r>
        <w:rPr>
          <w:sz w:val="20"/>
          <w:szCs w:val="20"/>
        </w:rPr>
        <w:t>s</w:t>
      </w:r>
      <w:r w:rsidRPr="00D0674A">
        <w:rPr>
          <w:sz w:val="20"/>
          <w:szCs w:val="20"/>
        </w:rPr>
        <w:t xml:space="preserve"> consulting rooms in a pharmacy</w:t>
      </w:r>
      <w:r>
        <w:rPr>
          <w:sz w:val="20"/>
          <w:szCs w:val="20"/>
        </w:rPr>
        <w:t xml:space="preserve"> to an allied health practitioner</w:t>
      </w:r>
      <w:r w:rsidRPr="00D0674A">
        <w:rPr>
          <w:sz w:val="20"/>
          <w:szCs w:val="20"/>
        </w:rPr>
        <w:t xml:space="preserve"> </w:t>
      </w:r>
      <w:r>
        <w:rPr>
          <w:sz w:val="20"/>
          <w:szCs w:val="20"/>
        </w:rPr>
        <w:t>or</w:t>
      </w:r>
      <w:r w:rsidRPr="00D0674A">
        <w:rPr>
          <w:sz w:val="20"/>
          <w:szCs w:val="20"/>
        </w:rPr>
        <w:t xml:space="preserve"> complementary </w:t>
      </w:r>
      <w:r>
        <w:rPr>
          <w:sz w:val="20"/>
          <w:szCs w:val="20"/>
        </w:rPr>
        <w:t>and</w:t>
      </w:r>
      <w:r w:rsidRPr="00D0674A">
        <w:rPr>
          <w:sz w:val="20"/>
          <w:szCs w:val="20"/>
        </w:rPr>
        <w:t xml:space="preserve"> alternative </w:t>
      </w:r>
      <w:r>
        <w:rPr>
          <w:sz w:val="20"/>
          <w:szCs w:val="20"/>
        </w:rPr>
        <w:t>medicine practitioner subject to any state or territory pharmacy premises registering authority approval</w:t>
      </w:r>
      <w:r w:rsidRPr="00D0674A">
        <w:rPr>
          <w:sz w:val="20"/>
          <w:szCs w:val="20"/>
        </w:rPr>
        <w:t>, th</w:t>
      </w:r>
      <w:r>
        <w:rPr>
          <w:sz w:val="20"/>
          <w:szCs w:val="20"/>
        </w:rPr>
        <w:t>at</w:t>
      </w:r>
      <w:r w:rsidRPr="00D0674A">
        <w:rPr>
          <w:sz w:val="20"/>
          <w:szCs w:val="20"/>
        </w:rPr>
        <w:t xml:space="preserve"> person </w:t>
      </w:r>
      <w:r>
        <w:rPr>
          <w:sz w:val="20"/>
          <w:szCs w:val="20"/>
        </w:rPr>
        <w:t xml:space="preserve">may not be </w:t>
      </w:r>
      <w:r w:rsidRPr="00D0674A">
        <w:rPr>
          <w:sz w:val="20"/>
          <w:szCs w:val="20"/>
        </w:rPr>
        <w:t>an employee</w:t>
      </w:r>
      <w:r w:rsidRPr="00913EDB">
        <w:rPr>
          <w:sz w:val="20"/>
          <w:szCs w:val="20"/>
        </w:rPr>
        <w:t xml:space="preserve"> of the pharmacy</w:t>
      </w:r>
      <w:r>
        <w:rPr>
          <w:sz w:val="20"/>
          <w:szCs w:val="20"/>
        </w:rPr>
        <w:t xml:space="preserve"> </w:t>
      </w:r>
      <w:r w:rsidRPr="00913EDB">
        <w:rPr>
          <w:sz w:val="20"/>
          <w:szCs w:val="20"/>
        </w:rPr>
        <w:t>business</w:t>
      </w:r>
      <w:r>
        <w:rPr>
          <w:sz w:val="20"/>
          <w:szCs w:val="20"/>
        </w:rPr>
        <w:t xml:space="preserve"> and </w:t>
      </w:r>
      <w:r w:rsidRPr="00913EDB">
        <w:rPr>
          <w:sz w:val="20"/>
          <w:szCs w:val="20"/>
        </w:rPr>
        <w:t>must use labels unrelated to those of the pharmacy.</w:t>
      </w:r>
    </w:p>
    <w:p w:rsidR="00797945" w:rsidRPr="00913EDB" w:rsidRDefault="00797945" w:rsidP="00797945">
      <w:pPr>
        <w:autoSpaceDE w:val="0"/>
        <w:autoSpaceDN w:val="0"/>
        <w:adjustRightInd w:val="0"/>
        <w:rPr>
          <w:sz w:val="20"/>
          <w:szCs w:val="20"/>
        </w:rPr>
      </w:pPr>
    </w:p>
    <w:p w:rsidR="00797945" w:rsidRPr="00D3403E" w:rsidRDefault="00797945" w:rsidP="00797945">
      <w:pPr>
        <w:pStyle w:val="AHPRASubhead"/>
        <w:ind w:left="709" w:hanging="709"/>
        <w:rPr>
          <w:bCs/>
        </w:rPr>
      </w:pPr>
      <w:r w:rsidRPr="00F63BDC">
        <w:rPr>
          <w:bCs/>
        </w:rPr>
        <w:t xml:space="preserve">7 </w:t>
      </w:r>
      <w:r w:rsidRPr="00F63BDC">
        <w:rPr>
          <w:bCs/>
        </w:rPr>
        <w:tab/>
        <w:t>Screening and risk assessment</w:t>
      </w:r>
    </w:p>
    <w:p w:rsidR="00797945" w:rsidRDefault="00797945" w:rsidP="00797945">
      <w:pPr>
        <w:autoSpaceDE w:val="0"/>
        <w:autoSpaceDN w:val="0"/>
        <w:adjustRightInd w:val="0"/>
        <w:rPr>
          <w:sz w:val="20"/>
          <w:szCs w:val="20"/>
        </w:rPr>
      </w:pPr>
      <w:r w:rsidRPr="00913EDB">
        <w:rPr>
          <w:sz w:val="20"/>
          <w:szCs w:val="20"/>
        </w:rPr>
        <w:t>This guideline relates to pharmacists providing in</w:t>
      </w:r>
      <w:r>
        <w:rPr>
          <w:sz w:val="20"/>
          <w:szCs w:val="20"/>
        </w:rPr>
        <w:t>-</w:t>
      </w:r>
      <w:r w:rsidRPr="00913EDB">
        <w:rPr>
          <w:sz w:val="20"/>
          <w:szCs w:val="20"/>
        </w:rPr>
        <w:t xml:space="preserve">pharmacy </w:t>
      </w:r>
      <w:r>
        <w:rPr>
          <w:sz w:val="20"/>
          <w:szCs w:val="20"/>
        </w:rPr>
        <w:t>health screening</w:t>
      </w:r>
      <w:r w:rsidRPr="00913EDB">
        <w:rPr>
          <w:sz w:val="20"/>
          <w:szCs w:val="20"/>
        </w:rPr>
        <w:t>.</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sidRPr="00913EDB">
        <w:rPr>
          <w:sz w:val="20"/>
          <w:szCs w:val="20"/>
        </w:rPr>
        <w:t>Pharmacists who conduct screening and risk assessment</w:t>
      </w:r>
      <w:r w:rsidRPr="00913EDB">
        <w:rPr>
          <w:i/>
          <w:iCs/>
          <w:sz w:val="20"/>
          <w:szCs w:val="20"/>
        </w:rPr>
        <w:t xml:space="preserve"> </w:t>
      </w:r>
      <w:r w:rsidRPr="00913EDB">
        <w:rPr>
          <w:sz w:val="20"/>
          <w:szCs w:val="20"/>
        </w:rPr>
        <w:t>tests are expected to follow established practice and</w:t>
      </w:r>
      <w:r w:rsidRPr="00913EDB">
        <w:rPr>
          <w:i/>
          <w:iCs/>
          <w:sz w:val="20"/>
          <w:szCs w:val="20"/>
        </w:rPr>
        <w:t xml:space="preserve"> </w:t>
      </w:r>
      <w:r w:rsidRPr="00913EDB">
        <w:rPr>
          <w:sz w:val="20"/>
          <w:szCs w:val="20"/>
        </w:rPr>
        <w:t>quality-assurance standards, including the relevant</w:t>
      </w:r>
      <w:r w:rsidRPr="00913EDB">
        <w:rPr>
          <w:i/>
          <w:iCs/>
          <w:sz w:val="20"/>
          <w:szCs w:val="20"/>
        </w:rPr>
        <w:t xml:space="preserve"> </w:t>
      </w:r>
      <w:r w:rsidRPr="00913EDB">
        <w:rPr>
          <w:sz w:val="20"/>
          <w:szCs w:val="20"/>
        </w:rPr>
        <w:t xml:space="preserve">guidelines issued by </w:t>
      </w:r>
      <w:r>
        <w:rPr>
          <w:sz w:val="20"/>
          <w:szCs w:val="20"/>
        </w:rPr>
        <w:t>professional associations and state or territory pharmacy premises registering authorities</w:t>
      </w:r>
      <w:r w:rsidRPr="00913EDB">
        <w:rPr>
          <w:sz w:val="20"/>
          <w:szCs w:val="20"/>
        </w:rPr>
        <w:t>.</w:t>
      </w:r>
    </w:p>
    <w:p w:rsidR="00797945" w:rsidRPr="00913EDB" w:rsidRDefault="00797945" w:rsidP="00797945">
      <w:pPr>
        <w:autoSpaceDE w:val="0"/>
        <w:autoSpaceDN w:val="0"/>
        <w:adjustRightInd w:val="0"/>
        <w:rPr>
          <w:i/>
          <w:iCs/>
          <w:sz w:val="20"/>
          <w:szCs w:val="20"/>
        </w:rPr>
      </w:pPr>
    </w:p>
    <w:p w:rsidR="00797945" w:rsidRPr="00D3403E" w:rsidRDefault="00797945" w:rsidP="00797945">
      <w:pPr>
        <w:pStyle w:val="AHPRASubhead"/>
        <w:ind w:left="709" w:hanging="709"/>
        <w:rPr>
          <w:bCs/>
        </w:rPr>
      </w:pPr>
      <w:r w:rsidRPr="00F63BDC">
        <w:rPr>
          <w:bCs/>
        </w:rPr>
        <w:t xml:space="preserve">8 </w:t>
      </w:r>
      <w:r w:rsidRPr="00F63BDC">
        <w:rPr>
          <w:bCs/>
        </w:rPr>
        <w:tab/>
        <w:t>Raw materials not approved for human use in medicines</w:t>
      </w:r>
    </w:p>
    <w:p w:rsidR="00797945" w:rsidRDefault="00797945" w:rsidP="00797945">
      <w:pPr>
        <w:autoSpaceDE w:val="0"/>
        <w:autoSpaceDN w:val="0"/>
        <w:adjustRightInd w:val="0"/>
        <w:rPr>
          <w:sz w:val="20"/>
          <w:szCs w:val="20"/>
        </w:rPr>
      </w:pPr>
      <w:r w:rsidRPr="00913EDB">
        <w:rPr>
          <w:sz w:val="20"/>
          <w:szCs w:val="20"/>
        </w:rPr>
        <w:t>Manufacturers of analytical reagents (ARs) do not usually sanction the use of their products for therapeutic use, despite the implicitly high level of purity.</w:t>
      </w:r>
    </w:p>
    <w:p w:rsidR="00797945" w:rsidRPr="00913EDB" w:rsidRDefault="00797945" w:rsidP="00797945">
      <w:pPr>
        <w:autoSpaceDE w:val="0"/>
        <w:autoSpaceDN w:val="0"/>
        <w:adjustRightInd w:val="0"/>
        <w:rPr>
          <w:sz w:val="20"/>
          <w:szCs w:val="20"/>
        </w:rPr>
      </w:pP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sidRPr="00913EDB">
        <w:rPr>
          <w:sz w:val="20"/>
          <w:szCs w:val="20"/>
        </w:rPr>
        <w:t>Pharmacists should only supply or use after careful consideration, chemicals and other substances for therapeutic purposes that have not been approved by Australian health authorities for use in humans. When pharmacists use such substances in a medicine, it is prudent to keep records of the supply to and from the pharmacy</w:t>
      </w:r>
      <w:r>
        <w:rPr>
          <w:sz w:val="20"/>
          <w:szCs w:val="20"/>
        </w:rPr>
        <w:t xml:space="preserve"> (also refer to the Board’s </w:t>
      </w:r>
      <w:r w:rsidRPr="0092199B">
        <w:rPr>
          <w:i/>
          <w:sz w:val="20"/>
          <w:szCs w:val="20"/>
        </w:rPr>
        <w:t xml:space="preserve">Guidelines on compounding </w:t>
      </w:r>
      <w:r>
        <w:rPr>
          <w:i/>
          <w:sz w:val="20"/>
          <w:szCs w:val="20"/>
        </w:rPr>
        <w:t>of medicines</w:t>
      </w:r>
      <w:r>
        <w:rPr>
          <w:sz w:val="20"/>
          <w:szCs w:val="20"/>
        </w:rPr>
        <w:t>).</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Pr>
          <w:sz w:val="20"/>
          <w:szCs w:val="20"/>
        </w:rPr>
        <w:t>Pharmacists are reminded of their obligation to comply with any state and territory requirements in relation to raw materials.</w:t>
      </w:r>
    </w:p>
    <w:p w:rsidR="00797945" w:rsidRPr="00913EDB" w:rsidRDefault="00797945" w:rsidP="00797945">
      <w:pPr>
        <w:autoSpaceDE w:val="0"/>
        <w:autoSpaceDN w:val="0"/>
        <w:adjustRightInd w:val="0"/>
        <w:rPr>
          <w:sz w:val="20"/>
          <w:szCs w:val="20"/>
        </w:rPr>
      </w:pPr>
    </w:p>
    <w:p w:rsidR="00797945" w:rsidRPr="00D3403E" w:rsidRDefault="00797945" w:rsidP="00797945">
      <w:pPr>
        <w:pStyle w:val="AHPRASubhead"/>
        <w:ind w:left="709" w:hanging="709"/>
        <w:rPr>
          <w:bCs/>
        </w:rPr>
      </w:pPr>
      <w:r w:rsidRPr="00F63BDC">
        <w:rPr>
          <w:bCs/>
        </w:rPr>
        <w:t xml:space="preserve">9 </w:t>
      </w:r>
      <w:r w:rsidRPr="00F63BDC">
        <w:rPr>
          <w:bCs/>
        </w:rPr>
        <w:tab/>
        <w:t>Supply of tobacco and alcohol products</w:t>
      </w:r>
    </w:p>
    <w:p w:rsidR="00797945" w:rsidRDefault="00797945" w:rsidP="00797945">
      <w:pPr>
        <w:autoSpaceDE w:val="0"/>
        <w:autoSpaceDN w:val="0"/>
        <w:adjustRightInd w:val="0"/>
        <w:rPr>
          <w:b/>
          <w:iCs/>
          <w:sz w:val="20"/>
          <w:szCs w:val="20"/>
        </w:rPr>
      </w:pPr>
      <w:r w:rsidRPr="00F63BDC">
        <w:rPr>
          <w:b/>
          <w:iCs/>
          <w:sz w:val="20"/>
          <w:szCs w:val="20"/>
        </w:rPr>
        <w:t>Guideline</w:t>
      </w:r>
    </w:p>
    <w:p w:rsidR="00797945" w:rsidRPr="00D3403E" w:rsidRDefault="00797945" w:rsidP="00797945">
      <w:pPr>
        <w:autoSpaceDE w:val="0"/>
        <w:autoSpaceDN w:val="0"/>
        <w:adjustRightInd w:val="0"/>
        <w:rPr>
          <w:b/>
          <w:iCs/>
          <w:sz w:val="20"/>
          <w:szCs w:val="20"/>
        </w:rPr>
      </w:pPr>
    </w:p>
    <w:p w:rsidR="00797945" w:rsidRDefault="00797945" w:rsidP="00797945">
      <w:pPr>
        <w:autoSpaceDE w:val="0"/>
        <w:autoSpaceDN w:val="0"/>
        <w:adjustRightInd w:val="0"/>
        <w:rPr>
          <w:sz w:val="20"/>
          <w:szCs w:val="20"/>
        </w:rPr>
      </w:pPr>
      <w:r w:rsidRPr="00913EDB">
        <w:rPr>
          <w:sz w:val="20"/>
          <w:szCs w:val="20"/>
        </w:rPr>
        <w:t>The sale or supply of tobacco products, alcoholic beverages, home brewing or alcohol distilling kits by a pharmacist is inconsistent with the practice of pharmacy and is considered as unprofessional conduct within the meaning of the National Law.</w:t>
      </w:r>
    </w:p>
    <w:p w:rsidR="00797945" w:rsidRPr="00913EDB" w:rsidRDefault="00797945" w:rsidP="00797945">
      <w:pPr>
        <w:autoSpaceDE w:val="0"/>
        <w:autoSpaceDN w:val="0"/>
        <w:adjustRightInd w:val="0"/>
        <w:rPr>
          <w:sz w:val="20"/>
          <w:szCs w:val="20"/>
        </w:rPr>
      </w:pPr>
    </w:p>
    <w:p w:rsidR="00797945" w:rsidRPr="00AF0B64" w:rsidRDefault="00797945" w:rsidP="00797945">
      <w:pPr>
        <w:pStyle w:val="AHPRASubhead"/>
      </w:pPr>
      <w:r w:rsidRPr="00A51490">
        <w:t>Definitions</w:t>
      </w:r>
    </w:p>
    <w:p w:rsidR="00797945" w:rsidRDefault="00797945" w:rsidP="00797945">
      <w:pPr>
        <w:pStyle w:val="FootnoteText"/>
        <w:rPr>
          <w:rFonts w:cs="Arial"/>
          <w:lang w:val="en-AU"/>
        </w:rPr>
      </w:pPr>
      <w:r>
        <w:rPr>
          <w:rFonts w:cs="Arial"/>
          <w:bCs/>
          <w:iCs/>
          <w:lang w:val="en-AU"/>
        </w:rPr>
        <w:t xml:space="preserve">A </w:t>
      </w:r>
      <w:r w:rsidRPr="00F63BDC">
        <w:rPr>
          <w:rFonts w:cs="Arial"/>
          <w:b/>
          <w:bCs/>
          <w:iCs/>
          <w:lang w:val="en-AU"/>
        </w:rPr>
        <w:t>co-regulatory jurisdiction</w:t>
      </w:r>
      <w:r w:rsidRPr="0047164B">
        <w:rPr>
          <w:rFonts w:cs="Arial"/>
          <w:b/>
          <w:bCs/>
          <w:i/>
          <w:iCs/>
          <w:lang w:val="en-AU"/>
        </w:rPr>
        <w:t xml:space="preserve"> </w:t>
      </w:r>
      <w:r w:rsidRPr="0047164B">
        <w:rPr>
          <w:rFonts w:cs="Arial"/>
          <w:lang w:val="en-AU"/>
        </w:rPr>
        <w:t>means a participating jurisdiction</w:t>
      </w:r>
      <w:r>
        <w:rPr>
          <w:rFonts w:cs="Arial"/>
          <w:lang w:val="en-AU"/>
        </w:rPr>
        <w:t xml:space="preserve"> </w:t>
      </w:r>
      <w:r w:rsidRPr="0047164B">
        <w:rPr>
          <w:rFonts w:cs="Arial"/>
          <w:lang w:val="en-AU"/>
        </w:rPr>
        <w:t xml:space="preserve">in which the </w:t>
      </w:r>
      <w:r>
        <w:rPr>
          <w:rFonts w:cs="Arial"/>
          <w:lang w:val="en-AU"/>
        </w:rPr>
        <w:t>National</w:t>
      </w:r>
      <w:r w:rsidRPr="0047164B">
        <w:rPr>
          <w:rFonts w:cs="Arial"/>
          <w:lang w:val="en-AU"/>
        </w:rPr>
        <w:t xml:space="preserve"> Law declares that the</w:t>
      </w:r>
      <w:r>
        <w:rPr>
          <w:rFonts w:cs="Arial"/>
          <w:lang w:val="en-AU"/>
        </w:rPr>
        <w:t xml:space="preserve"> </w:t>
      </w:r>
      <w:r w:rsidRPr="0047164B">
        <w:rPr>
          <w:rFonts w:cs="Arial"/>
          <w:lang w:val="en-AU"/>
        </w:rPr>
        <w:t>jurisdiction is not participating in the health, performance and</w:t>
      </w:r>
      <w:r>
        <w:rPr>
          <w:rFonts w:cs="Arial"/>
          <w:lang w:val="en-AU"/>
        </w:rPr>
        <w:t xml:space="preserve"> </w:t>
      </w:r>
      <w:r w:rsidRPr="0047164B">
        <w:rPr>
          <w:rFonts w:cs="Arial"/>
          <w:lang w:val="en-AU"/>
        </w:rPr>
        <w:t>conduct process provided by Divisions 3 to 12 of Part 8.</w:t>
      </w:r>
      <w:r>
        <w:rPr>
          <w:rFonts w:cs="Arial"/>
          <w:lang w:val="en-AU"/>
        </w:rPr>
        <w:t xml:space="preserve"> Queensland and New South Wales are co-regulatory jurisdictions.</w:t>
      </w:r>
    </w:p>
    <w:p w:rsidR="00797945" w:rsidRDefault="00797945" w:rsidP="00797945">
      <w:pPr>
        <w:autoSpaceDE w:val="0"/>
        <w:autoSpaceDN w:val="0"/>
        <w:adjustRightInd w:val="0"/>
        <w:rPr>
          <w:sz w:val="20"/>
          <w:szCs w:val="20"/>
        </w:rPr>
      </w:pPr>
      <w:r w:rsidRPr="00F37AF7">
        <w:rPr>
          <w:b/>
          <w:sz w:val="20"/>
          <w:szCs w:val="20"/>
        </w:rPr>
        <w:t>Practice</w:t>
      </w:r>
      <w:r w:rsidRPr="00F37AF7">
        <w:rPr>
          <w:sz w:val="20"/>
          <w:szCs w:val="20"/>
        </w:rPr>
        <w:t xml:space="preserve"> </w:t>
      </w:r>
      <w:r w:rsidRPr="00D7633A">
        <w:rPr>
          <w:sz w:val="20"/>
          <w:szCs w:val="20"/>
        </w:rPr>
        <w:t xml:space="preserve">means any role, whether remunerated or not, in which the individual uses their skills and knowledge as a pharmacist in their profession. For the purposes of </w:t>
      </w:r>
      <w:r>
        <w:rPr>
          <w:sz w:val="20"/>
          <w:szCs w:val="20"/>
        </w:rPr>
        <w:t>these guidelines</w:t>
      </w:r>
      <w:r w:rsidRPr="00D7633A">
        <w:rPr>
          <w:sz w:val="20"/>
          <w:szCs w:val="20"/>
        </w:rPr>
        <w:t>, practice is not restricted to the provision of direct clinical care. It also includes working in a direct non-clinical relationship with clients; working in management, administration, education, research, advisory, regulatory or policy development roles; and any other roles that impact on safe, effective delivery of services in the profession.</w:t>
      </w:r>
    </w:p>
    <w:p w:rsidR="00797945" w:rsidRPr="00D7633A"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F37AF7">
        <w:rPr>
          <w:b/>
          <w:sz w:val="20"/>
          <w:szCs w:val="20"/>
        </w:rPr>
        <w:t>Scope of practice</w:t>
      </w:r>
      <w:r w:rsidRPr="00F37AF7">
        <w:rPr>
          <w:sz w:val="20"/>
          <w:szCs w:val="20"/>
        </w:rPr>
        <w:t xml:space="preserve"> means the professional role and services that an individual health practitioner is educated and competent to perform.</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sz w:val="20"/>
          <w:szCs w:val="20"/>
        </w:rPr>
      </w:pPr>
      <w:r w:rsidRPr="00DE3A48">
        <w:rPr>
          <w:b/>
          <w:sz w:val="20"/>
          <w:szCs w:val="20"/>
        </w:rPr>
        <w:t>Unprofessional conduct</w:t>
      </w:r>
      <w:r>
        <w:rPr>
          <w:sz w:val="20"/>
          <w:szCs w:val="20"/>
        </w:rPr>
        <w:t>, as defined in the National Law, means professional conduct that is of a lesser standard than that which might reasonably be expected of a health practitioner by the public or a practitioner’s professional peers.</w:t>
      </w:r>
    </w:p>
    <w:p w:rsidR="00797945" w:rsidRDefault="00797945" w:rsidP="00797945">
      <w:pPr>
        <w:autoSpaceDE w:val="0"/>
        <w:autoSpaceDN w:val="0"/>
        <w:adjustRightInd w:val="0"/>
      </w:pPr>
    </w:p>
    <w:p w:rsidR="00797945" w:rsidRPr="00AF0B64" w:rsidRDefault="00797945" w:rsidP="00797945">
      <w:pPr>
        <w:pStyle w:val="AHPRASubhead"/>
      </w:pPr>
      <w:r w:rsidRPr="00A51490">
        <w:t>References</w:t>
      </w:r>
    </w:p>
    <w:p w:rsidR="00797945" w:rsidRDefault="00797945" w:rsidP="00797945">
      <w:pPr>
        <w:autoSpaceDE w:val="0"/>
        <w:autoSpaceDN w:val="0"/>
        <w:adjustRightInd w:val="0"/>
        <w:rPr>
          <w:i/>
          <w:sz w:val="20"/>
          <w:szCs w:val="20"/>
        </w:rPr>
      </w:pPr>
      <w:r>
        <w:rPr>
          <w:sz w:val="20"/>
          <w:szCs w:val="20"/>
        </w:rPr>
        <w:t xml:space="preserve">Pharmacy Board of Australia </w:t>
      </w:r>
      <w:r w:rsidRPr="0092199B">
        <w:rPr>
          <w:i/>
          <w:sz w:val="20"/>
          <w:szCs w:val="20"/>
        </w:rPr>
        <w:t>Guidelines for dispensing of medicines</w:t>
      </w:r>
    </w:p>
    <w:p w:rsidR="00797945" w:rsidRDefault="00797945" w:rsidP="00797945">
      <w:pPr>
        <w:autoSpaceDE w:val="0"/>
        <w:autoSpaceDN w:val="0"/>
        <w:adjustRightInd w:val="0"/>
        <w:rPr>
          <w:sz w:val="20"/>
          <w:szCs w:val="20"/>
        </w:rPr>
      </w:pPr>
    </w:p>
    <w:p w:rsidR="00797945" w:rsidRDefault="00797945" w:rsidP="00797945">
      <w:pPr>
        <w:autoSpaceDE w:val="0"/>
        <w:autoSpaceDN w:val="0"/>
        <w:adjustRightInd w:val="0"/>
        <w:rPr>
          <w:i/>
          <w:sz w:val="20"/>
          <w:szCs w:val="20"/>
        </w:rPr>
      </w:pPr>
      <w:r>
        <w:rPr>
          <w:sz w:val="20"/>
          <w:szCs w:val="20"/>
        </w:rPr>
        <w:t xml:space="preserve">Pharmacy Board of Australia </w:t>
      </w:r>
      <w:r w:rsidRPr="0092199B">
        <w:rPr>
          <w:i/>
          <w:sz w:val="20"/>
          <w:szCs w:val="20"/>
        </w:rPr>
        <w:t xml:space="preserve">Guidelines </w:t>
      </w:r>
      <w:r>
        <w:rPr>
          <w:i/>
          <w:sz w:val="20"/>
          <w:szCs w:val="20"/>
        </w:rPr>
        <w:t>on compounding</w:t>
      </w:r>
      <w:r w:rsidRPr="0092199B">
        <w:rPr>
          <w:i/>
          <w:sz w:val="20"/>
          <w:szCs w:val="20"/>
        </w:rPr>
        <w:t xml:space="preserve"> of medicines</w:t>
      </w:r>
    </w:p>
    <w:p w:rsidR="00B65D31" w:rsidRDefault="00B65D31" w:rsidP="00797945">
      <w:pPr>
        <w:autoSpaceDE w:val="0"/>
        <w:autoSpaceDN w:val="0"/>
        <w:adjustRightInd w:val="0"/>
        <w:rPr>
          <w:sz w:val="20"/>
          <w:szCs w:val="20"/>
        </w:rPr>
      </w:pPr>
    </w:p>
    <w:p w:rsidR="00797945" w:rsidRPr="00A80C31" w:rsidRDefault="00797945" w:rsidP="00797945">
      <w:pPr>
        <w:pStyle w:val="AHPRASubhead"/>
      </w:pPr>
      <w:r w:rsidRPr="00A80C31">
        <w:t>Review</w:t>
      </w:r>
    </w:p>
    <w:p w:rsidR="00797945" w:rsidRPr="00A80C31" w:rsidRDefault="00797945" w:rsidP="00797945">
      <w:pPr>
        <w:pStyle w:val="AHPRASubhead"/>
        <w:rPr>
          <w:b w:val="0"/>
          <w:color w:val="auto"/>
        </w:rPr>
      </w:pPr>
      <w:r w:rsidRPr="00A80C31">
        <w:t xml:space="preserve">Date of issue: </w:t>
      </w:r>
      <w:r>
        <w:rPr>
          <w:b w:val="0"/>
          <w:color w:val="auto"/>
        </w:rPr>
        <w:t>2 September</w:t>
      </w:r>
      <w:r w:rsidRPr="00A80C31">
        <w:rPr>
          <w:b w:val="0"/>
          <w:color w:val="auto"/>
        </w:rPr>
        <w:t xml:space="preserve"> 2015</w:t>
      </w:r>
    </w:p>
    <w:p w:rsidR="00797945" w:rsidRPr="00A80C31" w:rsidRDefault="00797945" w:rsidP="00797945">
      <w:pPr>
        <w:pStyle w:val="AHPRASubhead"/>
      </w:pPr>
      <w:r w:rsidRPr="00A80C31">
        <w:t>In effect from:</w:t>
      </w:r>
      <w:r w:rsidRPr="00A80C31">
        <w:tab/>
      </w:r>
      <w:r>
        <w:rPr>
          <w:b w:val="0"/>
          <w:color w:val="auto"/>
        </w:rPr>
        <w:t>7 December</w:t>
      </w:r>
      <w:r w:rsidRPr="00A80C31">
        <w:rPr>
          <w:b w:val="0"/>
          <w:color w:val="auto"/>
        </w:rPr>
        <w:t xml:space="preserve"> 2015</w:t>
      </w:r>
    </w:p>
    <w:p w:rsidR="00797945" w:rsidRPr="00A80C31" w:rsidRDefault="00797945" w:rsidP="00797945">
      <w:pPr>
        <w:pStyle w:val="AHPRASubhead"/>
        <w:rPr>
          <w:b w:val="0"/>
          <w:color w:val="auto"/>
        </w:rPr>
      </w:pPr>
      <w:r w:rsidRPr="00A80C31">
        <w:t xml:space="preserve">Date of review: </w:t>
      </w:r>
      <w:r>
        <w:rPr>
          <w:b w:val="0"/>
          <w:color w:val="auto"/>
        </w:rPr>
        <w:t>September</w:t>
      </w:r>
      <w:r w:rsidRPr="00A80C31">
        <w:rPr>
          <w:b w:val="0"/>
          <w:color w:val="auto"/>
        </w:rPr>
        <w:t xml:space="preserve"> 2020</w:t>
      </w:r>
    </w:p>
    <w:p w:rsidR="00797945" w:rsidRPr="00A80C31" w:rsidRDefault="00797945" w:rsidP="00797945">
      <w:pPr>
        <w:autoSpaceDE w:val="0"/>
        <w:autoSpaceDN w:val="0"/>
        <w:adjustRightInd w:val="0"/>
        <w:rPr>
          <w:sz w:val="20"/>
          <w:szCs w:val="20"/>
        </w:rPr>
      </w:pPr>
      <w:r w:rsidRPr="00A80C31">
        <w:rPr>
          <w:sz w:val="20"/>
          <w:szCs w:val="20"/>
        </w:rPr>
        <w:t>These guidelines will be reviewed at least every five years.</w:t>
      </w:r>
    </w:p>
    <w:p w:rsidR="00797945" w:rsidRDefault="00797945" w:rsidP="00797945">
      <w:pPr>
        <w:autoSpaceDE w:val="0"/>
        <w:autoSpaceDN w:val="0"/>
        <w:adjustRightInd w:val="0"/>
        <w:rPr>
          <w:sz w:val="20"/>
          <w:szCs w:val="20"/>
        </w:rPr>
      </w:pPr>
    </w:p>
    <w:p w:rsidR="000E4F8A" w:rsidRPr="000E4F8A" w:rsidRDefault="00797945" w:rsidP="00797945">
      <w:pPr>
        <w:autoSpaceDE w:val="0"/>
        <w:autoSpaceDN w:val="0"/>
        <w:adjustRightInd w:val="0"/>
        <w:rPr>
          <w:sz w:val="20"/>
          <w:szCs w:val="20"/>
        </w:rPr>
      </w:pPr>
      <w:r w:rsidRPr="00A80C31">
        <w:rPr>
          <w:sz w:val="20"/>
          <w:szCs w:val="20"/>
        </w:rPr>
        <w:t xml:space="preserve">From </w:t>
      </w:r>
      <w:r>
        <w:rPr>
          <w:sz w:val="20"/>
          <w:szCs w:val="20"/>
        </w:rPr>
        <w:t>7 December</w:t>
      </w:r>
      <w:r w:rsidRPr="00A80C31">
        <w:rPr>
          <w:sz w:val="20"/>
          <w:szCs w:val="20"/>
        </w:rPr>
        <w:t xml:space="preserve"> 2015, these guidelines replace the Pharmacy Board of Australia </w:t>
      </w:r>
      <w:r w:rsidRPr="00A80C31">
        <w:rPr>
          <w:i/>
          <w:sz w:val="20"/>
          <w:szCs w:val="20"/>
        </w:rPr>
        <w:t xml:space="preserve">Guidelines </w:t>
      </w:r>
      <w:r>
        <w:rPr>
          <w:i/>
          <w:sz w:val="20"/>
          <w:szCs w:val="20"/>
        </w:rPr>
        <w:t>on practice-specific issues</w:t>
      </w:r>
      <w:r w:rsidRPr="00A80C31">
        <w:rPr>
          <w:sz w:val="20"/>
          <w:szCs w:val="20"/>
        </w:rPr>
        <w:t xml:space="preserve"> published 12 August 2010.</w:t>
      </w:r>
    </w:p>
    <w:p w:rsidR="00797945" w:rsidRPr="00AF0B64" w:rsidRDefault="00797945" w:rsidP="00797945">
      <w:pPr>
        <w:rPr>
          <w:sz w:val="20"/>
          <w:szCs w:val="20"/>
        </w:rPr>
      </w:pPr>
    </w:p>
    <w:p w:rsidR="00797945" w:rsidRPr="000E7E28" w:rsidRDefault="00797945" w:rsidP="00DE3417">
      <w:pPr>
        <w:pStyle w:val="AHPRAbody"/>
      </w:pP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p w:rsidR="000F5D90" w:rsidRPr="000E7E28" w:rsidRDefault="000F5D90" w:rsidP="00996BFC">
      <w:pPr>
        <w:pStyle w:val="AHPRAbody"/>
      </w:pPr>
    </w:p>
    <w:p w:rsidR="00E77E23" w:rsidRPr="000E7E28" w:rsidRDefault="000F5D90" w:rsidP="000F5D90">
      <w:pPr>
        <w:tabs>
          <w:tab w:val="left" w:pos="5678"/>
        </w:tabs>
      </w:pPr>
      <w:r w:rsidRPr="000E7E28">
        <w:tab/>
      </w:r>
    </w:p>
    <w:sectPr w:rsidR="00E77E23" w:rsidRPr="000E7E28" w:rsidSect="008D4206">
      <w:headerReference w:type="default" r:id="rId11"/>
      <w:footerReference w:type="even" r:id="rId12"/>
      <w:footerReference w:type="default" r:id="rId13"/>
      <w:headerReference w:type="first" r:id="rId14"/>
      <w:footerReference w:type="first" r:id="rId15"/>
      <w:pgSz w:w="11900" w:h="16840"/>
      <w:pgMar w:top="1819" w:right="1835" w:bottom="1134" w:left="1843" w:header="1134" w:footer="112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17" w:rsidRDefault="00DE3417" w:rsidP="00FC2881">
      <w:r>
        <w:separator/>
      </w:r>
    </w:p>
    <w:p w:rsidR="00DE3417" w:rsidRDefault="00DE3417"/>
  </w:endnote>
  <w:endnote w:type="continuationSeparator" w:id="0">
    <w:p w:rsidR="00DE3417" w:rsidRDefault="00DE3417" w:rsidP="00FC2881">
      <w:r>
        <w:continuationSeparator/>
      </w:r>
    </w:p>
    <w:p w:rsidR="00DE3417" w:rsidRDefault="00DE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9B5EBC" w:rsidP="00FC2881">
    <w:pPr>
      <w:pStyle w:val="AHPRAfootnote"/>
      <w:framePr w:wrap="around" w:vAnchor="text" w:hAnchor="margin" w:xAlign="right" w:y="1"/>
    </w:pPr>
    <w:r>
      <w:fldChar w:fldCharType="begin"/>
    </w:r>
    <w:r w:rsidR="000A6BF7">
      <w:instrText xml:space="preserve">PAGE  </w:instrText>
    </w:r>
    <w:r>
      <w:fldChar w:fldCharType="end"/>
    </w:r>
  </w:p>
  <w:p w:rsidR="000A6BF7" w:rsidRDefault="000A6BF7" w:rsidP="00FC2881">
    <w:pPr>
      <w:pStyle w:val="AHPRAfootnote"/>
      <w:ind w:right="360"/>
    </w:pPr>
  </w:p>
  <w:p w:rsidR="000A6BF7" w:rsidRDefault="000A6B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E28" w:rsidRDefault="00797945" w:rsidP="001506FE">
    <w:pPr>
      <w:pStyle w:val="AHPRAfooter"/>
      <w:rPr>
        <w:szCs w:val="16"/>
      </w:rPr>
    </w:pPr>
    <w:r>
      <w:rPr>
        <w:szCs w:val="16"/>
      </w:rPr>
      <w:t>Guidelines on practice-specific issues</w:t>
    </w:r>
    <w:r w:rsidR="00E77E23" w:rsidRPr="00E77E23">
      <w:rPr>
        <w:szCs w:val="16"/>
      </w:rPr>
      <w:t>/</w:t>
    </w:r>
    <w:r>
      <w:rPr>
        <w:szCs w:val="16"/>
      </w:rPr>
      <w:t>September 2015</w:t>
    </w:r>
  </w:p>
  <w:p w:rsidR="000A6BF7" w:rsidRPr="000E7E28" w:rsidRDefault="006D78EF" w:rsidP="000E7E28">
    <w:pPr>
      <w:pStyle w:val="AHPRApagenumber"/>
    </w:pPr>
    <w:sdt>
      <w:sdtPr>
        <w:id w:val="18143575"/>
        <w:docPartObj>
          <w:docPartGallery w:val="Page Numbers (Top of Page)"/>
          <w:docPartUnique/>
        </w:docPartObj>
      </w:sdtPr>
      <w:sdtEndPr/>
      <w:sdtContent>
        <w:r w:rsidR="001506FE" w:rsidRPr="000E7E28">
          <w:t xml:space="preserve">Page </w:t>
        </w:r>
        <w:r w:rsidR="009B5EBC">
          <w:fldChar w:fldCharType="begin"/>
        </w:r>
        <w:r w:rsidR="00E74923">
          <w:instrText xml:space="preserve"> PAGE </w:instrText>
        </w:r>
        <w:r w:rsidR="009B5EBC">
          <w:fldChar w:fldCharType="separate"/>
        </w:r>
        <w:r>
          <w:rPr>
            <w:noProof/>
          </w:rPr>
          <w:t>4</w:t>
        </w:r>
        <w:r w:rsidR="009B5EBC">
          <w:rPr>
            <w:noProof/>
          </w:rPr>
          <w:fldChar w:fldCharType="end"/>
        </w:r>
        <w:r w:rsidR="00E77E23" w:rsidRPr="000E7E28">
          <w:t xml:space="preserve"> of </w:t>
        </w:r>
        <w:r w:rsidR="009B5EBC">
          <w:fldChar w:fldCharType="begin"/>
        </w:r>
        <w:r w:rsidR="00A56C8F">
          <w:instrText xml:space="preserve"> NUMPAGES  </w:instrText>
        </w:r>
        <w:r w:rsidR="009B5EBC">
          <w:fldChar w:fldCharType="separate"/>
        </w:r>
        <w:r>
          <w:rPr>
            <w:noProof/>
          </w:rPr>
          <w:t>7</w:t>
        </w:r>
        <w:r w:rsidR="009B5EB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5D" w:rsidRPr="00E77E23" w:rsidRDefault="00AB7F5D" w:rsidP="00AB7F5D">
    <w:pPr>
      <w:pStyle w:val="AHPRAfirstpagefooter"/>
    </w:pPr>
    <w:r>
      <w:rPr>
        <w:color w:val="007DC3"/>
      </w:rPr>
      <w:t>Pharmacy</w:t>
    </w:r>
    <w:r w:rsidRPr="00E77E23">
      <w:t xml:space="preserve"> </w:t>
    </w:r>
    <w:r>
      <w:t>Board of Australia</w:t>
    </w:r>
  </w:p>
  <w:p w:rsidR="00E77E23" w:rsidRDefault="00AB7F5D" w:rsidP="00AB7F5D">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w:t>
    </w:r>
    <w:r w:rsidRPr="00F358B9">
      <w:t>pharmacyboard</w:t>
    </w:r>
    <w:r w:rsidRPr="00AD312E">
      <w:t xml:space="preserve">.gov.au   </w:t>
    </w:r>
    <w:r w:rsidRPr="00E77E23">
      <w:rPr>
        <w:b/>
        <w:color w:val="007DC3"/>
        <w:szCs w:val="28"/>
      </w:rPr>
      <w:t>|</w:t>
    </w:r>
    <w:r w:rsidRPr="007432A4">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17" w:rsidRDefault="00DE3417" w:rsidP="000E7E28">
      <w:r>
        <w:separator/>
      </w:r>
    </w:p>
  </w:footnote>
  <w:footnote w:type="continuationSeparator" w:id="0">
    <w:p w:rsidR="00DE3417" w:rsidRDefault="00DE3417" w:rsidP="00FC2881">
      <w:r>
        <w:continuationSeparator/>
      </w:r>
    </w:p>
    <w:p w:rsidR="00DE3417" w:rsidRDefault="00DE3417"/>
  </w:footnote>
  <w:footnote w:type="continuationNotice" w:id="1">
    <w:p w:rsidR="00DE3417" w:rsidRDefault="00DE3417"/>
  </w:footnote>
  <w:footnote w:id="2">
    <w:p w:rsidR="00BF2863" w:rsidRDefault="00BF2863" w:rsidP="00BF2863">
      <w:pPr>
        <w:autoSpaceDE w:val="0"/>
        <w:autoSpaceDN w:val="0"/>
        <w:adjustRightInd w:val="0"/>
        <w:rPr>
          <w:sz w:val="20"/>
          <w:szCs w:val="20"/>
        </w:rPr>
      </w:pPr>
      <w:r>
        <w:rPr>
          <w:rStyle w:val="FootnoteReference"/>
        </w:rPr>
        <w:footnoteRef/>
      </w:r>
      <w:r>
        <w:t xml:space="preserve"> </w:t>
      </w:r>
      <w:r w:rsidRPr="00BF2863">
        <w:rPr>
          <w:sz w:val="16"/>
          <w:szCs w:val="16"/>
        </w:rPr>
        <w:t xml:space="preserve">Minor amendment made on </w:t>
      </w:r>
      <w:r w:rsidR="006D78EF" w:rsidRPr="006D78EF">
        <w:rPr>
          <w:sz w:val="16"/>
          <w:szCs w:val="16"/>
        </w:rPr>
        <w:t>28</w:t>
      </w:r>
      <w:r w:rsidRPr="00BF2863">
        <w:rPr>
          <w:sz w:val="16"/>
          <w:szCs w:val="16"/>
        </w:rPr>
        <w:t xml:space="preserve"> April 2017</w:t>
      </w:r>
      <w:r>
        <w:rPr>
          <w:sz w:val="16"/>
          <w:szCs w:val="16"/>
        </w:rPr>
        <w:t>.  Pre</w:t>
      </w:r>
      <w:r w:rsidRPr="00BF2863">
        <w:rPr>
          <w:sz w:val="16"/>
          <w:szCs w:val="16"/>
        </w:rPr>
        <w:t xml:space="preserve">viously stated “In addition to any statutory requirements applicable to the </w:t>
      </w:r>
      <w:r w:rsidRPr="00BF2863">
        <w:rPr>
          <w:bCs/>
          <w:sz w:val="16"/>
          <w:szCs w:val="16"/>
          <w:lang w:val="en-GB"/>
        </w:rPr>
        <w:t>supply of Schedule 2 poisons (Pharmacy Medicines) and Schedule 3 poisons (Pharmacist Only Medicines)</w:t>
      </w:r>
      <w:r w:rsidRPr="00BF2863">
        <w:rPr>
          <w:sz w:val="16"/>
          <w:szCs w:val="16"/>
        </w:rPr>
        <w:t xml:space="preserve">, the Board has regard to the </w:t>
      </w:r>
      <w:r w:rsidRPr="00BF2863">
        <w:rPr>
          <w:i/>
          <w:iCs/>
          <w:sz w:val="16"/>
          <w:szCs w:val="16"/>
        </w:rPr>
        <w:t>Standards for the Provision of Pharmacy</w:t>
      </w:r>
      <w:r w:rsidRPr="00BF2863">
        <w:rPr>
          <w:sz w:val="16"/>
          <w:szCs w:val="16"/>
        </w:rPr>
        <w:t xml:space="preserve"> </w:t>
      </w:r>
      <w:r w:rsidRPr="00BF2863">
        <w:rPr>
          <w:i/>
          <w:iCs/>
          <w:sz w:val="16"/>
          <w:szCs w:val="16"/>
        </w:rPr>
        <w:t>Medicines and Pharmacist Only Medicines in Community</w:t>
      </w:r>
      <w:r w:rsidRPr="00BF2863">
        <w:rPr>
          <w:sz w:val="16"/>
          <w:szCs w:val="16"/>
        </w:rPr>
        <w:t xml:space="preserve"> </w:t>
      </w:r>
      <w:r w:rsidRPr="00BF2863">
        <w:rPr>
          <w:i/>
          <w:iCs/>
          <w:sz w:val="16"/>
          <w:szCs w:val="16"/>
        </w:rPr>
        <w:t xml:space="preserve">Pharmacy </w:t>
      </w:r>
      <w:r w:rsidRPr="00BF2863">
        <w:rPr>
          <w:sz w:val="16"/>
          <w:szCs w:val="16"/>
        </w:rPr>
        <w:t>(produced by the Pharmaceutical Society of Australia) and any substance-specific protocols and quality-assurance standards.</w:t>
      </w:r>
      <w:r>
        <w:rPr>
          <w:sz w:val="16"/>
          <w:szCs w:val="16"/>
        </w:rPr>
        <w:t>”</w:t>
      </w:r>
    </w:p>
    <w:p w:rsidR="00BF2863" w:rsidRPr="00BF2863" w:rsidRDefault="00BF2863">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Pr="00315933" w:rsidRDefault="000A6BF7" w:rsidP="001F25BA">
    <w:pPr>
      <w:ind w:right="-567"/>
    </w:pPr>
  </w:p>
  <w:p w:rsidR="000A6BF7" w:rsidRDefault="000A6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F7" w:rsidRDefault="00AB7F5D" w:rsidP="00E844A0">
    <w:r w:rsidRPr="00AB7F5D">
      <w:rPr>
        <w:noProof/>
      </w:rPr>
      <w:drawing>
        <wp:anchor distT="0" distB="0" distL="114300" distR="114300" simplePos="0" relativeHeight="251659264" behindDoc="0" locked="0" layoutInCell="1" allowOverlap="1">
          <wp:simplePos x="0" y="0"/>
          <wp:positionH relativeFrom="margin">
            <wp:posOffset>4657014</wp:posOffset>
          </wp:positionH>
          <wp:positionV relativeFrom="margin">
            <wp:posOffset>-1559382</wp:posOffset>
          </wp:positionV>
          <wp:extent cx="1261110" cy="1316736"/>
          <wp:effectExtent l="0" t="0" r="0" b="0"/>
          <wp:wrapSquare wrapText="bothSides"/>
          <wp:docPr id="12" name="Picture 7" descr="Pharmacy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PharmacyBoardofAustralia_SPOT.jpg"/>
                  <pic:cNvPicPr/>
                </pic:nvPicPr>
                <pic:blipFill>
                  <a:blip r:embed="rId1"/>
                  <a:stretch>
                    <a:fillRect/>
                  </a:stretch>
                </pic:blipFill>
                <pic:spPr>
                  <a:xfrm>
                    <a:off x="0" y="0"/>
                    <a:ext cx="1261110" cy="1316355"/>
                  </a:xfrm>
                  <a:prstGeom prst="rect">
                    <a:avLst/>
                  </a:prstGeom>
                </pic:spPr>
              </pic:pic>
            </a:graphicData>
          </a:graphic>
        </wp:anchor>
      </w:drawing>
    </w:r>
  </w:p>
  <w:p w:rsidR="00461C91" w:rsidRDefault="00461C91" w:rsidP="00E844A0"/>
  <w:p w:rsidR="000A6BF7" w:rsidRDefault="000A6BF7" w:rsidP="00E844A0"/>
  <w:p w:rsidR="000A6BF7" w:rsidRDefault="000A6BF7" w:rsidP="00E844A0"/>
  <w:p w:rsidR="000A6BF7" w:rsidRDefault="000A6BF7" w:rsidP="00E844A0"/>
  <w:p w:rsidR="000A6BF7" w:rsidRDefault="009226B7" w:rsidP="009226B7">
    <w:pPr>
      <w:tabs>
        <w:tab w:val="left" w:pos="3667"/>
      </w:tabs>
    </w:pPr>
    <w:r>
      <w:tab/>
    </w:r>
  </w:p>
  <w:p w:rsidR="000A6BF7" w:rsidRDefault="000A6BF7"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152D19FF"/>
    <w:multiLevelType w:val="multilevel"/>
    <w:tmpl w:val="BE20683A"/>
    <w:numStyleLink w:val="AHPRANumberedheadinglist"/>
  </w:abstractNum>
  <w:abstractNum w:abstractNumId="5" w15:restartNumberingAfterBreak="0">
    <w:nsid w:val="20C155A3"/>
    <w:multiLevelType w:val="hybridMultilevel"/>
    <w:tmpl w:val="3508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2578D"/>
    <w:multiLevelType w:val="multilevel"/>
    <w:tmpl w:val="BE20683A"/>
    <w:numStyleLink w:val="AHPRANumberedheadinglist"/>
  </w:abstractNum>
  <w:abstractNum w:abstractNumId="7"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1381B"/>
    <w:multiLevelType w:val="multilevel"/>
    <w:tmpl w:val="6D12E3D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4433A"/>
    <w:multiLevelType w:val="multilevel"/>
    <w:tmpl w:val="C4183F12"/>
    <w:numStyleLink w:val="AHPRANumberedlist"/>
  </w:abstractNum>
  <w:abstractNum w:abstractNumId="11" w15:restartNumberingAfterBreak="0">
    <w:nsid w:val="6A9F2ACF"/>
    <w:multiLevelType w:val="multilevel"/>
    <w:tmpl w:val="24F89942"/>
    <w:styleLink w:val="AHPRAlist"/>
    <w:lvl w:ilvl="0">
      <w:start w:val="1"/>
      <w:numFmt w:val="decimal"/>
      <w:pStyle w:val="AHPRAnumberedsubheadinglevel10"/>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2"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E154B0"/>
    <w:multiLevelType w:val="multilevel"/>
    <w:tmpl w:val="C4183F12"/>
    <w:numStyleLink w:val="AHPRANumberedlist"/>
  </w:abstractNum>
  <w:abstractNum w:abstractNumId="1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31660"/>
    <w:multiLevelType w:val="multilevel"/>
    <w:tmpl w:val="C4183F12"/>
    <w:numStyleLink w:val="AHPRANumberedlist"/>
  </w:abstractNum>
  <w:num w:numId="1">
    <w:abstractNumId w:val="12"/>
  </w:num>
  <w:num w:numId="2">
    <w:abstractNumId w:val="9"/>
  </w:num>
  <w:num w:numId="3">
    <w:abstractNumId w:val="1"/>
  </w:num>
  <w:num w:numId="4">
    <w:abstractNumId w:val="3"/>
  </w:num>
  <w:num w:numId="5">
    <w:abstractNumId w:val="4"/>
  </w:num>
  <w:num w:numId="6">
    <w:abstractNumId w:val="6"/>
  </w:num>
  <w:num w:numId="7">
    <w:abstractNumId w:val="0"/>
  </w:num>
  <w:num w:numId="8">
    <w:abstractNumId w:val="7"/>
  </w:num>
  <w:num w:numId="9">
    <w:abstractNumId w:val="14"/>
  </w:num>
  <w:num w:numId="10">
    <w:abstractNumId w:val="10"/>
  </w:num>
  <w:num w:numId="11">
    <w:abstractNumId w:val="2"/>
  </w:num>
  <w:num w:numId="12">
    <w:abstractNumId w:val="13"/>
  </w:num>
  <w:num w:numId="13">
    <w:abstractNumId w:val="15"/>
  </w:num>
  <w:num w:numId="14">
    <w:abstractNumId w:val="11"/>
  </w:num>
  <w:num w:numId="15">
    <w:abstractNumId w:val="5"/>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1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 w:id="1"/>
  </w:footnotePr>
  <w:endnotePr>
    <w:endnote w:id="-1"/>
    <w:endnote w:id="0"/>
  </w:endnotePr>
  <w:compat>
    <w:compatSetting w:name="compatibilityMode" w:uri="http://schemas.microsoft.com/office/word" w:val="12"/>
  </w:compat>
  <w:rsids>
    <w:rsidRoot w:val="00797945"/>
    <w:rsid w:val="00000033"/>
    <w:rsid w:val="00006922"/>
    <w:rsid w:val="000334D7"/>
    <w:rsid w:val="00042445"/>
    <w:rsid w:val="00071439"/>
    <w:rsid w:val="000945FB"/>
    <w:rsid w:val="000A6BF7"/>
    <w:rsid w:val="000C1AB8"/>
    <w:rsid w:val="000E4F8A"/>
    <w:rsid w:val="000E7E28"/>
    <w:rsid w:val="000F5D90"/>
    <w:rsid w:val="0010139F"/>
    <w:rsid w:val="00143CC2"/>
    <w:rsid w:val="00144DEF"/>
    <w:rsid w:val="001506FE"/>
    <w:rsid w:val="001765D0"/>
    <w:rsid w:val="001C425C"/>
    <w:rsid w:val="001E1E31"/>
    <w:rsid w:val="001E2849"/>
    <w:rsid w:val="001E4A94"/>
    <w:rsid w:val="001E5621"/>
    <w:rsid w:val="001E77B0"/>
    <w:rsid w:val="001F0AFD"/>
    <w:rsid w:val="001F25BA"/>
    <w:rsid w:val="00220A3B"/>
    <w:rsid w:val="00224708"/>
    <w:rsid w:val="00230645"/>
    <w:rsid w:val="0028013F"/>
    <w:rsid w:val="00295B44"/>
    <w:rsid w:val="002B2D48"/>
    <w:rsid w:val="002C08FB"/>
    <w:rsid w:val="002C12B6"/>
    <w:rsid w:val="002C34EA"/>
    <w:rsid w:val="00303BE1"/>
    <w:rsid w:val="00305AFC"/>
    <w:rsid w:val="003354E4"/>
    <w:rsid w:val="0034108D"/>
    <w:rsid w:val="00353D8A"/>
    <w:rsid w:val="0038620E"/>
    <w:rsid w:val="003D6DBD"/>
    <w:rsid w:val="003E00B5"/>
    <w:rsid w:val="003E3268"/>
    <w:rsid w:val="003E5071"/>
    <w:rsid w:val="003F2F06"/>
    <w:rsid w:val="00405C0A"/>
    <w:rsid w:val="00414F2C"/>
    <w:rsid w:val="00450B34"/>
    <w:rsid w:val="004606A7"/>
    <w:rsid w:val="00461C91"/>
    <w:rsid w:val="00472FB6"/>
    <w:rsid w:val="0047542D"/>
    <w:rsid w:val="004A5E5D"/>
    <w:rsid w:val="004B747B"/>
    <w:rsid w:val="004D7537"/>
    <w:rsid w:val="004F5C05"/>
    <w:rsid w:val="00536208"/>
    <w:rsid w:val="0053749F"/>
    <w:rsid w:val="00546C3A"/>
    <w:rsid w:val="0055258B"/>
    <w:rsid w:val="00553A4C"/>
    <w:rsid w:val="00554335"/>
    <w:rsid w:val="005565CE"/>
    <w:rsid w:val="005708AE"/>
    <w:rsid w:val="00585CC0"/>
    <w:rsid w:val="00593C13"/>
    <w:rsid w:val="005A0FA9"/>
    <w:rsid w:val="005B1BAF"/>
    <w:rsid w:val="005C5932"/>
    <w:rsid w:val="005C6817"/>
    <w:rsid w:val="005E2917"/>
    <w:rsid w:val="00616043"/>
    <w:rsid w:val="006277AF"/>
    <w:rsid w:val="00640B2C"/>
    <w:rsid w:val="00667CAD"/>
    <w:rsid w:val="00681D5E"/>
    <w:rsid w:val="006C0257"/>
    <w:rsid w:val="006C0E29"/>
    <w:rsid w:val="006D30FE"/>
    <w:rsid w:val="006D3757"/>
    <w:rsid w:val="006D78EF"/>
    <w:rsid w:val="006F7348"/>
    <w:rsid w:val="006F796D"/>
    <w:rsid w:val="0070155F"/>
    <w:rsid w:val="0070795B"/>
    <w:rsid w:val="007372A4"/>
    <w:rsid w:val="00741B04"/>
    <w:rsid w:val="007432A4"/>
    <w:rsid w:val="0076115C"/>
    <w:rsid w:val="007664F3"/>
    <w:rsid w:val="0079197C"/>
    <w:rsid w:val="00797945"/>
    <w:rsid w:val="007A35B9"/>
    <w:rsid w:val="007B77D6"/>
    <w:rsid w:val="007C0B6E"/>
    <w:rsid w:val="007C333B"/>
    <w:rsid w:val="007D4836"/>
    <w:rsid w:val="007E2C84"/>
    <w:rsid w:val="007E3545"/>
    <w:rsid w:val="007F0095"/>
    <w:rsid w:val="00824427"/>
    <w:rsid w:val="008338F7"/>
    <w:rsid w:val="00836397"/>
    <w:rsid w:val="00845054"/>
    <w:rsid w:val="00852D1C"/>
    <w:rsid w:val="00856147"/>
    <w:rsid w:val="00860F40"/>
    <w:rsid w:val="008615C9"/>
    <w:rsid w:val="00864020"/>
    <w:rsid w:val="00877659"/>
    <w:rsid w:val="008979D5"/>
    <w:rsid w:val="008A4C3B"/>
    <w:rsid w:val="008B2AD7"/>
    <w:rsid w:val="008D4206"/>
    <w:rsid w:val="008D6B7E"/>
    <w:rsid w:val="008D7845"/>
    <w:rsid w:val="009226B7"/>
    <w:rsid w:val="00923B23"/>
    <w:rsid w:val="00937ED0"/>
    <w:rsid w:val="00952797"/>
    <w:rsid w:val="0097049B"/>
    <w:rsid w:val="009777D3"/>
    <w:rsid w:val="009859E6"/>
    <w:rsid w:val="00996BFC"/>
    <w:rsid w:val="009A0A5D"/>
    <w:rsid w:val="009B5EBC"/>
    <w:rsid w:val="009C6933"/>
    <w:rsid w:val="00A04C7A"/>
    <w:rsid w:val="00A058E5"/>
    <w:rsid w:val="00A07582"/>
    <w:rsid w:val="00A10C1A"/>
    <w:rsid w:val="00A2072E"/>
    <w:rsid w:val="00A21B4B"/>
    <w:rsid w:val="00A237BB"/>
    <w:rsid w:val="00A509AB"/>
    <w:rsid w:val="00A56C8F"/>
    <w:rsid w:val="00A70173"/>
    <w:rsid w:val="00A82078"/>
    <w:rsid w:val="00A838C8"/>
    <w:rsid w:val="00A91C42"/>
    <w:rsid w:val="00A9516B"/>
    <w:rsid w:val="00A9780A"/>
    <w:rsid w:val="00AA00AF"/>
    <w:rsid w:val="00AA10A8"/>
    <w:rsid w:val="00AA2FC9"/>
    <w:rsid w:val="00AB283D"/>
    <w:rsid w:val="00AB7F5D"/>
    <w:rsid w:val="00AD312E"/>
    <w:rsid w:val="00AD4B09"/>
    <w:rsid w:val="00AE3EAF"/>
    <w:rsid w:val="00B024B0"/>
    <w:rsid w:val="00B34EDA"/>
    <w:rsid w:val="00B41762"/>
    <w:rsid w:val="00B51748"/>
    <w:rsid w:val="00B57198"/>
    <w:rsid w:val="00B65D31"/>
    <w:rsid w:val="00B85023"/>
    <w:rsid w:val="00BA2456"/>
    <w:rsid w:val="00BA261B"/>
    <w:rsid w:val="00BA469B"/>
    <w:rsid w:val="00BA7E28"/>
    <w:rsid w:val="00BB4A5B"/>
    <w:rsid w:val="00BC5E94"/>
    <w:rsid w:val="00BF2534"/>
    <w:rsid w:val="00BF2863"/>
    <w:rsid w:val="00BF79DC"/>
    <w:rsid w:val="00C35DE1"/>
    <w:rsid w:val="00C3795C"/>
    <w:rsid w:val="00C524AA"/>
    <w:rsid w:val="00C54689"/>
    <w:rsid w:val="00C81B3A"/>
    <w:rsid w:val="00CB26F9"/>
    <w:rsid w:val="00CB6C08"/>
    <w:rsid w:val="00CD0DCA"/>
    <w:rsid w:val="00CD7EB8"/>
    <w:rsid w:val="00CF279D"/>
    <w:rsid w:val="00D0499F"/>
    <w:rsid w:val="00D12F61"/>
    <w:rsid w:val="00D201C6"/>
    <w:rsid w:val="00D638E0"/>
    <w:rsid w:val="00D716BA"/>
    <w:rsid w:val="00D8404D"/>
    <w:rsid w:val="00DA69A8"/>
    <w:rsid w:val="00DC2952"/>
    <w:rsid w:val="00DE3417"/>
    <w:rsid w:val="00DE3B70"/>
    <w:rsid w:val="00DF1AB7"/>
    <w:rsid w:val="00E07C02"/>
    <w:rsid w:val="00E1254E"/>
    <w:rsid w:val="00E12B06"/>
    <w:rsid w:val="00E15BF6"/>
    <w:rsid w:val="00E71CB9"/>
    <w:rsid w:val="00E7357F"/>
    <w:rsid w:val="00E73698"/>
    <w:rsid w:val="00E74923"/>
    <w:rsid w:val="00E77E23"/>
    <w:rsid w:val="00E8251C"/>
    <w:rsid w:val="00E844A0"/>
    <w:rsid w:val="00F13ED2"/>
    <w:rsid w:val="00F27ACB"/>
    <w:rsid w:val="00F3616F"/>
    <w:rsid w:val="00F6618F"/>
    <w:rsid w:val="00F70DD5"/>
    <w:rsid w:val="00F73165"/>
    <w:rsid w:val="00F90BCE"/>
    <w:rsid w:val="00FC2881"/>
    <w:rsid w:val="00FD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rules v:ext="edit">
        <o:r id="V:Rule2" type="connector" idref="#AutoShape 3"/>
      </o:rules>
    </o:shapelayout>
  </w:shapeDefaults>
  <w:decimalSymbol w:val="."/>
  <w:listSeparator w:val=","/>
  <w15:docId w15:val="{E1EA3DAB-B000-464B-BC76-2B434430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B7"/>
    <w:pPr>
      <w:jc w:val="both"/>
    </w:pPr>
    <w:rPr>
      <w:rFonts w:eastAsia="Times New Roman" w:cs="Arial"/>
      <w:sz w:val="22"/>
      <w:szCs w:val="24"/>
      <w:lang w:val="en-AU" w:eastAsia="en-AU"/>
    </w:rPr>
  </w:style>
  <w:style w:type="paragraph" w:styleId="Heading1">
    <w:name w:val="heading 1"/>
    <w:basedOn w:val="Normal"/>
    <w:next w:val="Normal"/>
    <w:link w:val="Heading1Char"/>
    <w:uiPriority w:val="1"/>
    <w:semiHidden/>
    <w:unhideWhenUsed/>
    <w:rsid w:val="00554335"/>
    <w:pPr>
      <w:keepNext/>
      <w:spacing w:before="240" w:after="60"/>
      <w:jc w:val="left"/>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1"/>
    <w:semiHidden/>
    <w:unhideWhenUsed/>
    <w:qFormat/>
    <w:rsid w:val="00E73698"/>
    <w:pPr>
      <w:keepNext/>
      <w:spacing w:before="240" w:after="60"/>
      <w:jc w:val="left"/>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1"/>
    <w:semiHidden/>
    <w:unhideWhenUsed/>
    <w:qFormat/>
    <w:rsid w:val="00E73698"/>
    <w:pPr>
      <w:keepNext/>
      <w:spacing w:before="240" w:after="60"/>
      <w:jc w:val="left"/>
      <w:outlineLvl w:val="2"/>
    </w:pPr>
    <w:rPr>
      <w:rFonts w:asciiTheme="majorHAnsi" w:eastAsiaTheme="majorEastAsia" w:hAnsiTheme="majorHAnsi" w:cstheme="majorBidi"/>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after="200"/>
      <w:jc w:val="left"/>
      <w:outlineLvl w:val="0"/>
    </w:pPr>
    <w:rPr>
      <w:rFonts w:eastAsia="Cambria"/>
      <w:color w:val="00BCE4"/>
      <w:sz w:val="32"/>
      <w:szCs w:val="52"/>
      <w:lang w:val="en-US" w:eastAsia="en-US"/>
    </w:rPr>
  </w:style>
  <w:style w:type="paragraph" w:customStyle="1" w:styleId="AHPRAbody">
    <w:name w:val="AHPRA body"/>
    <w:basedOn w:val="Normal"/>
    <w:link w:val="AHPRAbodyChar"/>
    <w:qFormat/>
    <w:rsid w:val="00E73698"/>
    <w:pPr>
      <w:spacing w:after="200"/>
      <w:jc w:val="left"/>
    </w:pPr>
    <w:rPr>
      <w:rFonts w:eastAsia="Cambria"/>
      <w:sz w:val="20"/>
      <w:lang w:val="en-US" w:eastAsia="en-US"/>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spacing w:after="200"/>
      <w:jc w:val="left"/>
      <w:outlineLvl w:val="0"/>
    </w:pPr>
    <w:rPr>
      <w:rFonts w:eastAsia="Cambria"/>
      <w:color w:val="5F6062"/>
      <w:sz w:val="28"/>
      <w:szCs w:val="52"/>
      <w:lang w:val="en-US" w:eastAsia="en-US"/>
    </w:rPr>
  </w:style>
  <w:style w:type="paragraph" w:customStyle="1" w:styleId="AHPRASubheading">
    <w:name w:val="AHPRA Subheading"/>
    <w:basedOn w:val="Normal"/>
    <w:qFormat/>
    <w:rsid w:val="00A10C1A"/>
    <w:pPr>
      <w:spacing w:before="200" w:after="200"/>
      <w:jc w:val="left"/>
    </w:pPr>
    <w:rPr>
      <w:rFonts w:eastAsia="Cambria" w:cs="Times New Roman"/>
      <w:b/>
      <w:color w:val="007DC3"/>
      <w:sz w:val="20"/>
      <w:lang w:val="en-US" w:eastAsia="en-US"/>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ind w:left="369" w:hanging="369"/>
      <w:jc w:val="left"/>
    </w:pPr>
    <w:rPr>
      <w:rFonts w:eastAsia="Cambria" w:cs="Times New Roman"/>
      <w:sz w:val="20"/>
      <w:lang w:val="en-US" w:eastAsia="en-US"/>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rFonts w:eastAsia="Cambria" w:cs="Times New Roman"/>
      <w:b/>
      <w:sz w:val="20"/>
      <w:lang w:val="en-US" w:eastAsia="en-US"/>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spacing w:after="200"/>
      <w:jc w:val="left"/>
    </w:pPr>
    <w:rPr>
      <w:rFonts w:eastAsia="Cambria" w:cs="Times New Roman"/>
      <w:sz w:val="24"/>
      <w:lang w:val="en-US" w:eastAsia="en-US"/>
    </w:r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99"/>
    <w:unhideWhenUsed/>
    <w:rsid w:val="00E73698"/>
    <w:pPr>
      <w:spacing w:after="200"/>
      <w:jc w:val="left"/>
    </w:pPr>
    <w:rPr>
      <w:rFonts w:eastAsia="Cambria" w:cs="Times New Roman"/>
      <w:sz w:val="20"/>
      <w:szCs w:val="20"/>
      <w:lang w:val="en-US" w:eastAsia="en-US"/>
    </w:rPr>
  </w:style>
  <w:style w:type="character" w:customStyle="1" w:styleId="FootnoteTextChar">
    <w:name w:val="Footnote Text Char"/>
    <w:basedOn w:val="DefaultParagraphFont"/>
    <w:link w:val="FootnoteText"/>
    <w:uiPriority w:val="99"/>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AHPRAbodybluebold">
    <w:name w:val="AHPRA body blue bold"/>
    <w:basedOn w:val="AHPRASubheading"/>
    <w:uiPriority w:val="1"/>
    <w:rsid w:val="00996BFC"/>
  </w:style>
  <w:style w:type="paragraph" w:customStyle="1" w:styleId="AHPRAnumberedsubheadinglevel10">
    <w:name w:val="AHPRA numbered subheading level 1"/>
    <w:basedOn w:val="AHPRASubheading"/>
    <w:next w:val="Normal"/>
    <w:rsid w:val="00996BFC"/>
    <w:pPr>
      <w:numPr>
        <w:numId w:val="14"/>
      </w:numPr>
    </w:pPr>
    <w:rPr>
      <w:color w:val="008EC4"/>
    </w:rPr>
  </w:style>
  <w:style w:type="paragraph" w:customStyle="1" w:styleId="AHPRAnumberedbulletpoint">
    <w:name w:val="AHPRA numbered bullet point"/>
    <w:basedOn w:val="AHPRAnumberedsubheadinglevel10"/>
    <w:rsid w:val="00996BFC"/>
    <w:pPr>
      <w:numPr>
        <w:ilvl w:val="1"/>
      </w:numPr>
    </w:pPr>
    <w:rPr>
      <w:b w:val="0"/>
      <w:color w:val="auto"/>
    </w:rPr>
  </w:style>
  <w:style w:type="numbering" w:customStyle="1" w:styleId="AHPRAlist">
    <w:name w:val="AHPRA list"/>
    <w:uiPriority w:val="99"/>
    <w:rsid w:val="00996BFC"/>
    <w:pPr>
      <w:numPr>
        <w:numId w:val="14"/>
      </w:numPr>
    </w:pPr>
  </w:style>
  <w:style w:type="paragraph" w:customStyle="1" w:styleId="AHPRAComplextableheadings">
    <w:name w:val="AHPRA Complex table headings"/>
    <w:basedOn w:val="AHPRAtableheading"/>
    <w:uiPriority w:val="1"/>
    <w:rsid w:val="00DE3417"/>
    <w:rPr>
      <w:color w:val="FFFFFF" w:themeColor="background1"/>
      <w:lang w:val="en-AU"/>
    </w:rPr>
  </w:style>
  <w:style w:type="paragraph" w:styleId="ListParagraph">
    <w:name w:val="List Paragraph"/>
    <w:basedOn w:val="Normal"/>
    <w:uiPriority w:val="34"/>
    <w:qFormat/>
    <w:rsid w:val="00797945"/>
    <w:pPr>
      <w:spacing w:after="200" w:line="276" w:lineRule="auto"/>
      <w:ind w:left="720"/>
      <w:contextualSpacing/>
      <w:jc w:val="left"/>
    </w:pPr>
    <w:rPr>
      <w:rFonts w:asciiTheme="minorHAnsi" w:eastAsiaTheme="minorEastAsia" w:hAnsiTheme="minorHAnsi" w:cstheme="minorBidi"/>
      <w:szCs w:val="22"/>
    </w:rPr>
  </w:style>
  <w:style w:type="paragraph" w:customStyle="1" w:styleId="AHPRASubhead">
    <w:name w:val="AHPRA Subhead"/>
    <w:basedOn w:val="Normal"/>
    <w:qFormat/>
    <w:rsid w:val="00797945"/>
    <w:pPr>
      <w:spacing w:after="200"/>
      <w:jc w:val="left"/>
    </w:pPr>
    <w:rPr>
      <w:rFonts w:eastAsia="Cambria"/>
      <w:b/>
      <w:color w:val="008EC4"/>
      <w:sz w:val="20"/>
      <w:szCs w:val="20"/>
    </w:rPr>
  </w:style>
  <w:style w:type="character" w:customStyle="1" w:styleId="cs63eb74b21">
    <w:name w:val="cs63eb74b21"/>
    <w:basedOn w:val="DefaultParagraphFont"/>
    <w:rsid w:val="000E4F8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s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hpra.gov.au" TargetMode="External"/><Relationship Id="rId4" Type="http://schemas.openxmlformats.org/officeDocument/2006/relationships/settings" Target="settings.xml"/><Relationship Id="rId9" Type="http://schemas.openxmlformats.org/officeDocument/2006/relationships/hyperlink" Target="http://www.shpa.org.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llon-smith\AppData\Local\Microsoft\Windows\Temporary%20Internet%20Files\Content.IE5\1EPVI0GB\PharmBA_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1C04-2EE3-4C3E-9AA2-4A750DEC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PharmBA_letter-template</Template>
  <TotalTime>0</TotalTime>
  <Pages>7</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Johanna Villani Design</Company>
  <LinksUpToDate>false</LinksUpToDate>
  <CharactersWithSpaces>17831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practice-specific issues</dc:title>
  <dc:subject>Guidelines</dc:subject>
  <dc:creator>Pharmacy Board</dc:creator>
  <cp:keywords>September 2015</cp:keywords>
  <cp:lastModifiedBy>Tara Johnson</cp:lastModifiedBy>
  <cp:revision>2</cp:revision>
  <cp:lastPrinted>2012-04-24T01:37:00Z</cp:lastPrinted>
  <dcterms:created xsi:type="dcterms:W3CDTF">2017-04-28T05:11:00Z</dcterms:created>
  <dcterms:modified xsi:type="dcterms:W3CDTF">2017-04-28T05:11:00Z</dcterms:modified>
</cp:coreProperties>
</file>