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p>
    <w:p w:rsidR="003A047A" w:rsidRDefault="003A047A" w:rsidP="000A3981">
      <w:pPr>
        <w:pStyle w:val="AHPRATitle"/>
        <w:rPr>
          <w:b/>
          <w:sz w:val="28"/>
          <w:szCs w:val="28"/>
        </w:rPr>
      </w:pPr>
      <w:bookmarkStart w:id="0" w:name="_GoBack"/>
      <w:bookmarkEnd w:id="0"/>
    </w:p>
    <w:p w:rsidR="000A3981" w:rsidRPr="001B3F78" w:rsidRDefault="000A3981" w:rsidP="000A3981">
      <w:pPr>
        <w:pStyle w:val="AHPRATitle"/>
        <w:rPr>
          <w:b/>
          <w:noProof/>
          <w:sz w:val="28"/>
          <w:szCs w:val="28"/>
        </w:rPr>
      </w:pPr>
      <w:r w:rsidRPr="001B3F78">
        <w:rPr>
          <w:b/>
          <w:sz w:val="28"/>
          <w:szCs w:val="28"/>
        </w:rPr>
        <w:t>Communiqué</w:t>
      </w:r>
    </w:p>
    <w:p w:rsidR="00745EEC" w:rsidRPr="00BA3C17" w:rsidRDefault="006F16BD" w:rsidP="007B6F93">
      <w:pPr>
        <w:spacing w:before="240" w:after="240"/>
        <w:rPr>
          <w:rFonts w:ascii="Arial" w:hAnsi="Arial" w:cs="Arial"/>
          <w:b/>
          <w:sz w:val="20"/>
          <w:szCs w:val="20"/>
          <w:lang w:val="en-US"/>
        </w:rPr>
      </w:pPr>
      <w:r>
        <w:rPr>
          <w:rFonts w:ascii="Arial" w:hAnsi="Arial" w:cs="Arial"/>
          <w:b/>
          <w:sz w:val="20"/>
          <w:szCs w:val="20"/>
          <w:lang w:val="en-US"/>
        </w:rPr>
        <w:t>29</w:t>
      </w:r>
      <w:r w:rsidR="00D00549">
        <w:rPr>
          <w:rFonts w:ascii="Arial" w:hAnsi="Arial" w:cs="Arial"/>
          <w:b/>
          <w:sz w:val="20"/>
          <w:szCs w:val="20"/>
          <w:lang w:val="en-US"/>
        </w:rPr>
        <w:t xml:space="preserve"> </w:t>
      </w:r>
      <w:r w:rsidR="00485106" w:rsidRPr="007363E2">
        <w:rPr>
          <w:rFonts w:ascii="Arial" w:hAnsi="Arial" w:cs="Arial"/>
          <w:b/>
          <w:sz w:val="20"/>
          <w:szCs w:val="20"/>
          <w:lang w:val="en-US"/>
        </w:rPr>
        <w:t xml:space="preserve">September </w:t>
      </w:r>
      <w:r w:rsidR="00DE177C" w:rsidRPr="007363E2">
        <w:rPr>
          <w:rFonts w:ascii="Arial" w:hAnsi="Arial" w:cs="Arial"/>
          <w:b/>
          <w:sz w:val="20"/>
          <w:szCs w:val="20"/>
          <w:lang w:val="en-US"/>
        </w:rPr>
        <w:t>2015</w:t>
      </w:r>
    </w:p>
    <w:p w:rsidR="00CD0A02" w:rsidRPr="00CD0A02" w:rsidRDefault="008121B5" w:rsidP="00CD0A02">
      <w:pPr>
        <w:spacing w:after="20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22C40">
        <w:rPr>
          <w:rFonts w:ascii="Arial" w:hAnsi="Arial" w:cs="Arial"/>
          <w:sz w:val="20"/>
          <w:szCs w:val="20"/>
          <w:lang w:val="en-US"/>
        </w:rPr>
        <w:t xml:space="preserve"> on </w:t>
      </w:r>
      <w:r w:rsidR="000C56DF">
        <w:rPr>
          <w:rFonts w:ascii="Arial" w:hAnsi="Arial" w:cs="Arial"/>
          <w:sz w:val="20"/>
          <w:szCs w:val="20"/>
          <w:lang w:val="en-US"/>
        </w:rPr>
        <w:t>18 September</w:t>
      </w:r>
      <w:r w:rsidR="00485106">
        <w:rPr>
          <w:rFonts w:ascii="Arial" w:hAnsi="Arial" w:cs="Arial"/>
          <w:sz w:val="20"/>
          <w:szCs w:val="20"/>
          <w:lang w:val="en-US"/>
        </w:rPr>
        <w:t xml:space="preserve"> </w:t>
      </w:r>
      <w:r w:rsidR="00203DEB">
        <w:rPr>
          <w:rFonts w:ascii="Arial" w:hAnsi="Arial" w:cs="Arial"/>
          <w:sz w:val="20"/>
          <w:szCs w:val="20"/>
          <w:lang w:val="en-US"/>
        </w:rPr>
        <w:t>2015</w:t>
      </w:r>
      <w:r w:rsidR="005B5709">
        <w:rPr>
          <w:rFonts w:ascii="Arial" w:hAnsi="Arial" w:cs="Arial"/>
          <w:sz w:val="20"/>
          <w:szCs w:val="20"/>
          <w:lang w:val="en-US"/>
        </w:rPr>
        <w:t xml:space="preserve"> in Melbourne</w:t>
      </w:r>
      <w:r>
        <w:rPr>
          <w:rFonts w:ascii="Arial" w:hAnsi="Arial" w:cs="Arial"/>
          <w:sz w:val="20"/>
          <w:szCs w:val="20"/>
        </w:rPr>
        <w:t>.</w:t>
      </w:r>
    </w:p>
    <w:p w:rsidR="009C08F2" w:rsidRDefault="009C08F2" w:rsidP="009C08F2">
      <w:pPr>
        <w:pStyle w:val="AHPRASubhead"/>
        <w:rPr>
          <w:rFonts w:cs="Arial"/>
          <w:szCs w:val="20"/>
        </w:rPr>
      </w:pPr>
      <w:r>
        <w:rPr>
          <w:rFonts w:cs="Arial"/>
          <w:szCs w:val="20"/>
        </w:rPr>
        <w:t>Meeting with the Australian Pharmacy Council</w:t>
      </w:r>
    </w:p>
    <w:p w:rsidR="009C08F2" w:rsidRDefault="009C08F2" w:rsidP="009C08F2">
      <w:pPr>
        <w:pStyle w:val="Default"/>
        <w:spacing w:after="200"/>
        <w:rPr>
          <w:sz w:val="20"/>
          <w:szCs w:val="20"/>
        </w:rPr>
      </w:pPr>
      <w:r>
        <w:rPr>
          <w:sz w:val="20"/>
          <w:szCs w:val="20"/>
        </w:rPr>
        <w:t xml:space="preserve">The president and senior staff of the Australian Pharmacy Council (APC) met with the Board to discuss work carried out by APC on behalf of the Board.  </w:t>
      </w:r>
    </w:p>
    <w:p w:rsidR="009C08F2" w:rsidRDefault="009C08F2" w:rsidP="009C08F2">
      <w:pPr>
        <w:pStyle w:val="Default"/>
        <w:spacing w:after="200"/>
        <w:rPr>
          <w:sz w:val="20"/>
          <w:szCs w:val="20"/>
        </w:rPr>
      </w:pPr>
      <w:r>
        <w:rPr>
          <w:sz w:val="20"/>
          <w:szCs w:val="20"/>
        </w:rPr>
        <w:t>Under the National Law</w:t>
      </w:r>
      <w:r>
        <w:rPr>
          <w:rStyle w:val="FootnoteReference"/>
          <w:sz w:val="20"/>
          <w:szCs w:val="20"/>
        </w:rPr>
        <w:footnoteReference w:id="1"/>
      </w:r>
      <w:r>
        <w:rPr>
          <w:sz w:val="20"/>
          <w:szCs w:val="20"/>
        </w:rPr>
        <w:t xml:space="preserve"> which established the National Registration and Accreditation Scheme, the Board determined that the accreditation function for the pharmacy profession is to be exercised by APC. The accreditation agreement between the Australian Health Practitioner Regulation Agency (AHPRA) and APC facilitates the collaboration between APC, AHPRA and the Board.</w:t>
      </w:r>
    </w:p>
    <w:p w:rsidR="009C08F2" w:rsidRPr="009C08F2" w:rsidRDefault="009C08F2" w:rsidP="009C08F2">
      <w:pPr>
        <w:pStyle w:val="Default"/>
        <w:spacing w:after="200"/>
        <w:rPr>
          <w:sz w:val="20"/>
          <w:szCs w:val="20"/>
        </w:rPr>
      </w:pPr>
      <w:r>
        <w:rPr>
          <w:sz w:val="20"/>
          <w:szCs w:val="20"/>
        </w:rPr>
        <w:t xml:space="preserve">In addition to developing and reviewing </w:t>
      </w:r>
      <w:r w:rsidRPr="009C08F2">
        <w:rPr>
          <w:sz w:val="20"/>
          <w:szCs w:val="20"/>
        </w:rPr>
        <w:t xml:space="preserve">accreditation standards </w:t>
      </w:r>
      <w:r>
        <w:rPr>
          <w:sz w:val="20"/>
          <w:szCs w:val="20"/>
        </w:rPr>
        <w:t>for pharmacy degree programs and intern training programs, APC assesses</w:t>
      </w:r>
      <w:r w:rsidRPr="009C08F2">
        <w:rPr>
          <w:sz w:val="20"/>
          <w:szCs w:val="20"/>
        </w:rPr>
        <w:t xml:space="preserve"> programs of study and education </w:t>
      </w:r>
      <w:r>
        <w:rPr>
          <w:sz w:val="20"/>
          <w:szCs w:val="20"/>
        </w:rPr>
        <w:t>providers against the standards, manages the assessment process for overseas pharmacists and conducts the written examination component of the Board’s registration examination for intern pharmacists.</w:t>
      </w:r>
    </w:p>
    <w:p w:rsidR="00125912" w:rsidRDefault="0092755B" w:rsidP="002C7EFD">
      <w:pPr>
        <w:pStyle w:val="Default"/>
        <w:spacing w:after="200"/>
        <w:rPr>
          <w:b/>
          <w:bCs/>
          <w:color w:val="008EC4"/>
          <w:sz w:val="20"/>
          <w:szCs w:val="20"/>
        </w:rPr>
      </w:pPr>
      <w:r w:rsidRPr="0092755B">
        <w:rPr>
          <w:b/>
          <w:bCs/>
          <w:color w:val="008EC4"/>
          <w:sz w:val="20"/>
          <w:szCs w:val="20"/>
        </w:rPr>
        <w:t>Online renewal of registration is now open</w:t>
      </w:r>
    </w:p>
    <w:p w:rsidR="00125912" w:rsidRPr="00125912" w:rsidRDefault="00125912" w:rsidP="00125912">
      <w:pPr>
        <w:pStyle w:val="Default"/>
        <w:spacing w:after="200"/>
        <w:rPr>
          <w:sz w:val="20"/>
          <w:szCs w:val="20"/>
        </w:rPr>
      </w:pPr>
      <w:r w:rsidRPr="00125912">
        <w:rPr>
          <w:sz w:val="20"/>
          <w:szCs w:val="20"/>
        </w:rPr>
        <w:t>Online renewal of registration is now open for pharmacists registered in Australia.</w:t>
      </w:r>
      <w:r w:rsidR="0092755B">
        <w:rPr>
          <w:sz w:val="20"/>
          <w:szCs w:val="20"/>
        </w:rPr>
        <w:t xml:space="preserve"> </w:t>
      </w:r>
      <w:r w:rsidRPr="00125912">
        <w:rPr>
          <w:sz w:val="20"/>
          <w:szCs w:val="20"/>
        </w:rPr>
        <w:t xml:space="preserve">Pharmacists who are due to renew their general or non-practising registration with </w:t>
      </w:r>
      <w:r w:rsidR="0092755B">
        <w:rPr>
          <w:sz w:val="20"/>
          <w:szCs w:val="20"/>
        </w:rPr>
        <w:t>the Board</w:t>
      </w:r>
      <w:r w:rsidRPr="00125912">
        <w:rPr>
          <w:sz w:val="20"/>
          <w:szCs w:val="20"/>
        </w:rPr>
        <w:t xml:space="preserve"> by 30 November can apply online now.</w:t>
      </w:r>
    </w:p>
    <w:p w:rsidR="00125912" w:rsidRPr="00125912" w:rsidRDefault="00125912" w:rsidP="00125912">
      <w:pPr>
        <w:pStyle w:val="Default"/>
        <w:spacing w:after="200"/>
        <w:rPr>
          <w:sz w:val="20"/>
          <w:szCs w:val="20"/>
        </w:rPr>
      </w:pPr>
      <w:r w:rsidRPr="00125912">
        <w:rPr>
          <w:sz w:val="20"/>
          <w:szCs w:val="20"/>
        </w:rPr>
        <w:t xml:space="preserve">Earlier this month the Board announced that it had limited the fee increase to below the national CPI of 1.3% for the registration period from 1 December 2015 to 30 November 2016. A </w:t>
      </w:r>
      <w:hyperlink r:id="rId8" w:history="1">
        <w:r w:rsidRPr="00125912">
          <w:rPr>
            <w:rStyle w:val="Hyperlink"/>
            <w:sz w:val="20"/>
            <w:szCs w:val="20"/>
          </w:rPr>
          <w:t>fee schedule</w:t>
        </w:r>
      </w:hyperlink>
      <w:r w:rsidRPr="00125912">
        <w:rPr>
          <w:sz w:val="20"/>
          <w:szCs w:val="20"/>
        </w:rPr>
        <w:t>, including the fee arrangements for practitioners whose principal place of practice is NSW</w:t>
      </w:r>
      <w:r w:rsidR="000C357A">
        <w:rPr>
          <w:rStyle w:val="FootnoteReference"/>
          <w:sz w:val="20"/>
          <w:szCs w:val="20"/>
        </w:rPr>
        <w:footnoteReference w:id="2"/>
      </w:r>
      <w:r w:rsidRPr="00125912">
        <w:rPr>
          <w:sz w:val="20"/>
          <w:szCs w:val="20"/>
        </w:rPr>
        <w:t>, is published on the Board’s website.</w:t>
      </w:r>
    </w:p>
    <w:p w:rsidR="00125912" w:rsidRPr="00125912" w:rsidRDefault="00125912" w:rsidP="00125912">
      <w:pPr>
        <w:pStyle w:val="Default"/>
        <w:spacing w:after="200"/>
        <w:rPr>
          <w:sz w:val="20"/>
          <w:szCs w:val="20"/>
        </w:rPr>
      </w:pPr>
      <w:r w:rsidRPr="00125912">
        <w:rPr>
          <w:sz w:val="20"/>
          <w:szCs w:val="20"/>
        </w:rPr>
        <w:t>The National Registration and Accreditation Scheme (the National Scheme) is funded by practitioners’ registration fees and there is no cross subsidisation between professions.</w:t>
      </w:r>
    </w:p>
    <w:p w:rsidR="00125912" w:rsidRPr="00125912" w:rsidRDefault="00125912" w:rsidP="00125912">
      <w:pPr>
        <w:pStyle w:val="Default"/>
        <w:spacing w:after="200"/>
        <w:rPr>
          <w:sz w:val="20"/>
          <w:szCs w:val="20"/>
        </w:rPr>
      </w:pPr>
      <w:r w:rsidRPr="00125912">
        <w:rPr>
          <w:sz w:val="20"/>
          <w:szCs w:val="20"/>
        </w:rPr>
        <w:t xml:space="preserve">A series of reminders to renew are being sent to practitioners by the Australian Health Practitioner Regulation Agency (AHPRA), on behalf of the Board. The email reminders include a link to </w:t>
      </w:r>
      <w:hyperlink r:id="rId9" w:history="1">
        <w:r w:rsidRPr="00125912">
          <w:rPr>
            <w:rStyle w:val="Hyperlink"/>
            <w:sz w:val="20"/>
            <w:szCs w:val="20"/>
          </w:rPr>
          <w:t>online renewal</w:t>
        </w:r>
      </w:hyperlink>
      <w:r w:rsidRPr="00125912">
        <w:rPr>
          <w:sz w:val="20"/>
          <w:szCs w:val="20"/>
        </w:rPr>
        <w:t>.</w:t>
      </w:r>
    </w:p>
    <w:p w:rsidR="00125912" w:rsidRPr="0092755B" w:rsidRDefault="0092755B" w:rsidP="0092755B">
      <w:pPr>
        <w:pStyle w:val="Default"/>
        <w:spacing w:after="200"/>
        <w:rPr>
          <w:sz w:val="20"/>
          <w:szCs w:val="20"/>
        </w:rPr>
      </w:pPr>
      <w:r>
        <w:rPr>
          <w:sz w:val="20"/>
          <w:szCs w:val="20"/>
        </w:rPr>
        <w:t xml:space="preserve">Earlier this month, the Board published information on its </w:t>
      </w:r>
      <w:hyperlink r:id="rId10" w:history="1">
        <w:r w:rsidRPr="0092755B">
          <w:rPr>
            <w:rStyle w:val="Hyperlink"/>
            <w:sz w:val="20"/>
            <w:szCs w:val="20"/>
          </w:rPr>
          <w:t xml:space="preserve">website </w:t>
        </w:r>
      </w:hyperlink>
      <w:r>
        <w:rPr>
          <w:sz w:val="20"/>
          <w:szCs w:val="20"/>
        </w:rPr>
        <w:t xml:space="preserve">reminding pharmacists to update their contact details to ensure </w:t>
      </w:r>
      <w:r w:rsidRPr="00125912">
        <w:rPr>
          <w:sz w:val="20"/>
          <w:szCs w:val="20"/>
        </w:rPr>
        <w:t>future email and hard copy reminders to renew</w:t>
      </w:r>
      <w:r>
        <w:rPr>
          <w:sz w:val="20"/>
          <w:szCs w:val="20"/>
        </w:rPr>
        <w:t xml:space="preserve"> registration.  Pharmacists who do not have their </w:t>
      </w:r>
      <w:r w:rsidRPr="0092755B">
        <w:rPr>
          <w:sz w:val="20"/>
          <w:szCs w:val="20"/>
        </w:rPr>
        <w:t>user ID</w:t>
      </w:r>
      <w:r>
        <w:rPr>
          <w:sz w:val="20"/>
          <w:szCs w:val="20"/>
        </w:rPr>
        <w:t xml:space="preserve"> can </w:t>
      </w:r>
      <w:r w:rsidRPr="0092755B">
        <w:rPr>
          <w:sz w:val="20"/>
          <w:szCs w:val="20"/>
        </w:rPr>
        <w:t xml:space="preserve">complete an </w:t>
      </w:r>
      <w:hyperlink r:id="rId11" w:history="1">
        <w:r w:rsidRPr="0092755B">
          <w:rPr>
            <w:rStyle w:val="Hyperlink"/>
            <w:sz w:val="20"/>
            <w:szCs w:val="20"/>
          </w:rPr>
          <w:t>online enquiry form</w:t>
        </w:r>
      </w:hyperlink>
      <w:r w:rsidRPr="0092755B">
        <w:rPr>
          <w:sz w:val="20"/>
          <w:szCs w:val="20"/>
        </w:rPr>
        <w:t xml:space="preserve"> and select ‘Online Services - Practitioner’ as the category type. </w:t>
      </w:r>
      <w:r>
        <w:rPr>
          <w:sz w:val="20"/>
          <w:szCs w:val="20"/>
        </w:rPr>
        <w:t>Some pharmacists may also</w:t>
      </w:r>
      <w:r w:rsidRPr="0092755B">
        <w:rPr>
          <w:sz w:val="20"/>
          <w:szCs w:val="20"/>
        </w:rPr>
        <w:t xml:space="preserve"> need to </w:t>
      </w:r>
      <w:hyperlink r:id="rId12" w:history="1">
        <w:r w:rsidR="000C357A">
          <w:rPr>
            <w:rStyle w:val="Hyperlink"/>
            <w:sz w:val="20"/>
            <w:szCs w:val="20"/>
          </w:rPr>
          <w:t>reset their</w:t>
        </w:r>
        <w:r w:rsidRPr="0092755B">
          <w:rPr>
            <w:rStyle w:val="Hyperlink"/>
            <w:sz w:val="20"/>
            <w:szCs w:val="20"/>
          </w:rPr>
          <w:t xml:space="preserve"> password</w:t>
        </w:r>
      </w:hyperlink>
      <w:r w:rsidRPr="0092755B">
        <w:rPr>
          <w:sz w:val="20"/>
          <w:szCs w:val="20"/>
        </w:rPr>
        <w:t>.</w:t>
      </w:r>
    </w:p>
    <w:p w:rsidR="00125912" w:rsidRPr="00125912" w:rsidRDefault="00125912" w:rsidP="00125912">
      <w:pPr>
        <w:pStyle w:val="Default"/>
        <w:spacing w:after="200"/>
        <w:rPr>
          <w:sz w:val="20"/>
          <w:szCs w:val="20"/>
        </w:rPr>
      </w:pPr>
      <w:r w:rsidRPr="00125912">
        <w:rPr>
          <w:sz w:val="20"/>
          <w:szCs w:val="20"/>
        </w:rPr>
        <w:t>Under the National Law, registered health practitioners are responsible for renewing their registration on time each year.</w:t>
      </w:r>
    </w:p>
    <w:p w:rsidR="00125912" w:rsidRPr="00125912" w:rsidRDefault="00125912" w:rsidP="00125912">
      <w:pPr>
        <w:pStyle w:val="Default"/>
        <w:spacing w:after="200"/>
        <w:rPr>
          <w:sz w:val="20"/>
          <w:szCs w:val="20"/>
        </w:rPr>
      </w:pPr>
      <w:r w:rsidRPr="00125912">
        <w:rPr>
          <w:sz w:val="20"/>
          <w:szCs w:val="20"/>
        </w:rPr>
        <w:t>Last year 97.6 per cent of all health practitioner registration renewals due by 30 November (12 professions) were submitted online, an increase of 1.3 per cent.</w:t>
      </w:r>
    </w:p>
    <w:p w:rsidR="003A047A" w:rsidRDefault="003A047A" w:rsidP="003A047A">
      <w:pPr>
        <w:pStyle w:val="Default"/>
        <w:spacing w:after="200"/>
        <w:rPr>
          <w:sz w:val="20"/>
          <w:szCs w:val="20"/>
        </w:rPr>
      </w:pPr>
      <w:r w:rsidRPr="00125912">
        <w:rPr>
          <w:sz w:val="20"/>
          <w:szCs w:val="20"/>
        </w:rPr>
        <w:lastRenderedPageBreak/>
        <w:t>Useful information for pharmacists is on the Board’s website:</w:t>
      </w:r>
    </w:p>
    <w:p w:rsidR="00125912" w:rsidRPr="00125912" w:rsidRDefault="00C345C3" w:rsidP="00125912">
      <w:pPr>
        <w:pStyle w:val="Default"/>
        <w:numPr>
          <w:ilvl w:val="0"/>
          <w:numId w:val="37"/>
        </w:numPr>
        <w:spacing w:after="200"/>
        <w:rPr>
          <w:sz w:val="20"/>
          <w:szCs w:val="20"/>
        </w:rPr>
      </w:pPr>
      <w:hyperlink r:id="rId13" w:history="1">
        <w:r w:rsidR="00125912" w:rsidRPr="00125912">
          <w:rPr>
            <w:rStyle w:val="Hyperlink"/>
            <w:sz w:val="20"/>
            <w:szCs w:val="20"/>
          </w:rPr>
          <w:t>Registration standards</w:t>
        </w:r>
      </w:hyperlink>
    </w:p>
    <w:p w:rsidR="00125912" w:rsidRPr="00125912" w:rsidRDefault="00C345C3" w:rsidP="00125912">
      <w:pPr>
        <w:pStyle w:val="Default"/>
        <w:numPr>
          <w:ilvl w:val="0"/>
          <w:numId w:val="37"/>
        </w:numPr>
        <w:spacing w:after="200"/>
        <w:rPr>
          <w:sz w:val="20"/>
          <w:szCs w:val="20"/>
        </w:rPr>
      </w:pPr>
      <w:hyperlink r:id="rId14" w:history="1">
        <w:r w:rsidR="00125912" w:rsidRPr="00125912">
          <w:rPr>
            <w:rStyle w:val="Hyperlink"/>
            <w:sz w:val="20"/>
            <w:szCs w:val="20"/>
          </w:rPr>
          <w:t>Registration renewal</w:t>
        </w:r>
      </w:hyperlink>
    </w:p>
    <w:p w:rsidR="00125912" w:rsidRPr="00125912" w:rsidRDefault="00C345C3" w:rsidP="00125912">
      <w:pPr>
        <w:pStyle w:val="Default"/>
        <w:numPr>
          <w:ilvl w:val="0"/>
          <w:numId w:val="37"/>
        </w:numPr>
        <w:spacing w:after="200"/>
        <w:rPr>
          <w:sz w:val="20"/>
          <w:szCs w:val="20"/>
        </w:rPr>
      </w:pPr>
      <w:hyperlink r:id="rId15" w:history="1">
        <w:r w:rsidR="00125912" w:rsidRPr="00125912">
          <w:rPr>
            <w:rStyle w:val="Hyperlink"/>
            <w:sz w:val="20"/>
            <w:szCs w:val="20"/>
          </w:rPr>
          <w:t>Renewal FAQ</w:t>
        </w:r>
      </w:hyperlink>
    </w:p>
    <w:p w:rsidR="002C7EFD" w:rsidRPr="00BF69C6" w:rsidRDefault="00D00549" w:rsidP="00BF69C6">
      <w:pPr>
        <w:pStyle w:val="Default"/>
        <w:spacing w:after="200"/>
        <w:rPr>
          <w:b/>
          <w:bCs/>
          <w:color w:val="008EC4"/>
          <w:sz w:val="20"/>
          <w:szCs w:val="20"/>
        </w:rPr>
      </w:pPr>
      <w:r>
        <w:rPr>
          <w:b/>
          <w:bCs/>
          <w:color w:val="008EC4"/>
          <w:sz w:val="20"/>
          <w:szCs w:val="20"/>
        </w:rPr>
        <w:t xml:space="preserve">Publication of </w:t>
      </w:r>
      <w:r w:rsidR="00BF69C6" w:rsidRPr="00BF69C6">
        <w:rPr>
          <w:b/>
          <w:bCs/>
          <w:color w:val="008EC4"/>
          <w:sz w:val="20"/>
          <w:szCs w:val="20"/>
        </w:rPr>
        <w:t>revised guidelines for pharmacists</w:t>
      </w:r>
    </w:p>
    <w:p w:rsidR="00D00549" w:rsidRPr="00D00549" w:rsidRDefault="00D00549" w:rsidP="00D00549">
      <w:pPr>
        <w:spacing w:after="200"/>
        <w:jc w:val="both"/>
        <w:rPr>
          <w:rFonts w:ascii="Arial" w:hAnsi="Arial" w:cs="Arial"/>
          <w:sz w:val="20"/>
          <w:szCs w:val="20"/>
          <w:lang w:val="en-US"/>
        </w:rPr>
      </w:pPr>
      <w:r w:rsidRPr="00D00549">
        <w:rPr>
          <w:rFonts w:ascii="Arial" w:hAnsi="Arial" w:cs="Arial"/>
          <w:sz w:val="20"/>
          <w:szCs w:val="20"/>
          <w:lang w:val="en-US"/>
        </w:rPr>
        <w:t>On 2 September the Board published revised guidelines that provide guidance to the profession on a range of issues.</w:t>
      </w:r>
    </w:p>
    <w:p w:rsidR="00D00549" w:rsidRPr="00D00549" w:rsidRDefault="00D00549" w:rsidP="00D00549">
      <w:pPr>
        <w:spacing w:after="200"/>
        <w:jc w:val="both"/>
        <w:rPr>
          <w:rFonts w:ascii="Arial" w:hAnsi="Arial" w:cs="Arial"/>
          <w:sz w:val="20"/>
          <w:szCs w:val="20"/>
          <w:lang w:val="en-US"/>
        </w:rPr>
      </w:pPr>
      <w:r w:rsidRPr="00D00549">
        <w:rPr>
          <w:rFonts w:ascii="Arial" w:hAnsi="Arial" w:cs="Arial"/>
          <w:sz w:val="20"/>
          <w:szCs w:val="20"/>
          <w:lang w:val="en-US"/>
        </w:rPr>
        <w:t>Pharmacists are urged to read the revised guidelines:</w:t>
      </w:r>
    </w:p>
    <w:p w:rsidR="00D00549" w:rsidRPr="00D00549" w:rsidRDefault="00D00549" w:rsidP="00D00549">
      <w:pPr>
        <w:numPr>
          <w:ilvl w:val="0"/>
          <w:numId w:val="35"/>
        </w:numPr>
        <w:spacing w:after="200"/>
        <w:jc w:val="both"/>
        <w:rPr>
          <w:rFonts w:ascii="Arial" w:hAnsi="Arial" w:cs="Arial"/>
          <w:i/>
          <w:sz w:val="20"/>
          <w:szCs w:val="20"/>
          <w:lang w:val="en-US"/>
        </w:rPr>
      </w:pPr>
      <w:r w:rsidRPr="00D00549">
        <w:rPr>
          <w:rFonts w:ascii="Arial" w:hAnsi="Arial" w:cs="Arial"/>
          <w:i/>
          <w:sz w:val="20"/>
          <w:szCs w:val="20"/>
          <w:lang w:val="en-US"/>
        </w:rPr>
        <w:t>Guidelines for dispensing of medicines</w:t>
      </w:r>
    </w:p>
    <w:p w:rsidR="00D00549" w:rsidRPr="00D00549" w:rsidRDefault="00D00549" w:rsidP="00D00549">
      <w:pPr>
        <w:numPr>
          <w:ilvl w:val="0"/>
          <w:numId w:val="35"/>
        </w:numPr>
        <w:spacing w:after="200"/>
        <w:jc w:val="both"/>
        <w:rPr>
          <w:rFonts w:ascii="Arial" w:hAnsi="Arial" w:cs="Arial"/>
          <w:i/>
          <w:sz w:val="20"/>
          <w:szCs w:val="20"/>
          <w:lang w:val="en-US"/>
        </w:rPr>
      </w:pPr>
      <w:r w:rsidRPr="00D00549">
        <w:rPr>
          <w:rFonts w:ascii="Arial" w:hAnsi="Arial" w:cs="Arial"/>
          <w:i/>
          <w:sz w:val="20"/>
          <w:szCs w:val="20"/>
          <w:lang w:val="en-US"/>
        </w:rPr>
        <w:t>Guidelines on practice-specific issues</w:t>
      </w:r>
    </w:p>
    <w:p w:rsidR="00D00549" w:rsidRPr="00D00549" w:rsidRDefault="00D00549" w:rsidP="00D00549">
      <w:pPr>
        <w:numPr>
          <w:ilvl w:val="1"/>
          <w:numId w:val="35"/>
        </w:numPr>
        <w:spacing w:after="200"/>
        <w:jc w:val="both"/>
        <w:rPr>
          <w:rFonts w:ascii="Arial" w:hAnsi="Arial" w:cs="Arial"/>
          <w:sz w:val="20"/>
          <w:szCs w:val="20"/>
          <w:lang w:val="en-US"/>
        </w:rPr>
      </w:pPr>
      <w:r w:rsidRPr="00D00549">
        <w:rPr>
          <w:rFonts w:ascii="Arial" w:hAnsi="Arial" w:cs="Arial"/>
          <w:sz w:val="20"/>
          <w:szCs w:val="20"/>
          <w:lang w:val="en-US"/>
        </w:rPr>
        <w:t xml:space="preserve">Guideline 1 </w:t>
      </w:r>
      <w:r w:rsidRPr="00D00549">
        <w:rPr>
          <w:rFonts w:ascii="Arial" w:hAnsi="Arial" w:cs="Arial"/>
          <w:i/>
          <w:sz w:val="20"/>
          <w:szCs w:val="20"/>
          <w:lang w:val="en-US"/>
        </w:rPr>
        <w:t>Reference texts for pharmacists</w:t>
      </w:r>
    </w:p>
    <w:p w:rsidR="00D00549" w:rsidRPr="00D00549" w:rsidRDefault="00D00549" w:rsidP="00D00549">
      <w:pPr>
        <w:numPr>
          <w:ilvl w:val="0"/>
          <w:numId w:val="35"/>
        </w:numPr>
        <w:spacing w:after="200"/>
        <w:jc w:val="both"/>
        <w:rPr>
          <w:rFonts w:ascii="Arial" w:hAnsi="Arial" w:cs="Arial"/>
          <w:i/>
          <w:sz w:val="20"/>
          <w:szCs w:val="20"/>
        </w:rPr>
      </w:pPr>
      <w:r w:rsidRPr="00D00549">
        <w:rPr>
          <w:rFonts w:ascii="Arial" w:hAnsi="Arial" w:cs="Arial"/>
          <w:i/>
          <w:sz w:val="20"/>
          <w:szCs w:val="20"/>
        </w:rPr>
        <w:t>Guidelines on dose administration aids and staged supply of dispensed medicines, and</w:t>
      </w:r>
    </w:p>
    <w:p w:rsidR="00D00549" w:rsidRPr="00D00549" w:rsidRDefault="00D00549" w:rsidP="00D00549">
      <w:pPr>
        <w:numPr>
          <w:ilvl w:val="0"/>
          <w:numId w:val="35"/>
        </w:numPr>
        <w:spacing w:after="200"/>
        <w:jc w:val="both"/>
        <w:rPr>
          <w:rFonts w:ascii="Arial" w:hAnsi="Arial" w:cs="Arial"/>
          <w:i/>
          <w:sz w:val="20"/>
          <w:szCs w:val="20"/>
        </w:rPr>
      </w:pPr>
      <w:r w:rsidRPr="00D00549">
        <w:rPr>
          <w:rFonts w:ascii="Arial" w:hAnsi="Arial" w:cs="Arial"/>
          <w:i/>
          <w:sz w:val="20"/>
          <w:szCs w:val="20"/>
        </w:rPr>
        <w:t>Guidelines for proprietor pharmacists.</w:t>
      </w:r>
    </w:p>
    <w:p w:rsidR="00D00549" w:rsidRPr="00D00549" w:rsidRDefault="00D00549" w:rsidP="00D00549">
      <w:pPr>
        <w:spacing w:after="200"/>
        <w:jc w:val="both"/>
        <w:rPr>
          <w:rFonts w:ascii="Arial" w:hAnsi="Arial" w:cs="Arial"/>
          <w:sz w:val="20"/>
          <w:szCs w:val="20"/>
          <w:lang w:val="en-US"/>
        </w:rPr>
      </w:pPr>
      <w:r w:rsidRPr="00D00549">
        <w:rPr>
          <w:rFonts w:ascii="Arial" w:hAnsi="Arial" w:cs="Arial"/>
          <w:sz w:val="20"/>
          <w:szCs w:val="20"/>
          <w:lang w:val="en-US"/>
        </w:rPr>
        <w:t>The guidelines were subject to wide-ranging consultation and will take effect on 7 December 2015. They have been published now so pharmacists can become familiar with their content before implementation.</w:t>
      </w:r>
    </w:p>
    <w:p w:rsidR="00D00549" w:rsidRPr="00D00549" w:rsidRDefault="00D00549" w:rsidP="00D00549">
      <w:pPr>
        <w:spacing w:after="200"/>
        <w:jc w:val="both"/>
        <w:rPr>
          <w:rFonts w:ascii="Arial" w:hAnsi="Arial" w:cs="Arial"/>
          <w:sz w:val="20"/>
          <w:szCs w:val="20"/>
          <w:lang w:val="en-US"/>
        </w:rPr>
      </w:pPr>
      <w:r w:rsidRPr="00D00549">
        <w:rPr>
          <w:rFonts w:ascii="Arial" w:hAnsi="Arial" w:cs="Arial"/>
          <w:sz w:val="20"/>
          <w:szCs w:val="20"/>
          <w:lang w:val="en-US"/>
        </w:rPr>
        <w:t>Obvious changes included renaming the titles of guidelines to better reflect content, and restructuring of some of the guidelines for ease of reading.</w:t>
      </w:r>
    </w:p>
    <w:p w:rsidR="00D00549" w:rsidRPr="00D00549" w:rsidRDefault="00D00549" w:rsidP="00D00549">
      <w:pPr>
        <w:spacing w:after="200"/>
        <w:jc w:val="both"/>
        <w:rPr>
          <w:rFonts w:ascii="Arial" w:hAnsi="Arial" w:cs="Arial"/>
          <w:sz w:val="20"/>
          <w:szCs w:val="20"/>
          <w:lang w:val="en-US"/>
        </w:rPr>
      </w:pPr>
      <w:r w:rsidRPr="00D00549">
        <w:rPr>
          <w:rFonts w:ascii="Arial" w:hAnsi="Arial" w:cs="Arial"/>
          <w:sz w:val="20"/>
          <w:szCs w:val="20"/>
          <w:lang w:val="en-US"/>
        </w:rPr>
        <w:t>Pharmacists are expected to review the new guidelines and familiarise themselves with all changes to ensure they comply in their practice from 7 December.</w:t>
      </w:r>
    </w:p>
    <w:p w:rsidR="00D00549" w:rsidRPr="00D00549" w:rsidRDefault="00D00549" w:rsidP="00D00549">
      <w:pPr>
        <w:spacing w:after="200"/>
        <w:jc w:val="both"/>
        <w:rPr>
          <w:rFonts w:ascii="Arial" w:hAnsi="Arial" w:cs="Arial"/>
          <w:sz w:val="20"/>
          <w:szCs w:val="20"/>
        </w:rPr>
      </w:pPr>
      <w:r w:rsidRPr="00D00549">
        <w:rPr>
          <w:rFonts w:ascii="Arial" w:hAnsi="Arial" w:cs="Arial"/>
          <w:sz w:val="20"/>
          <w:szCs w:val="20"/>
        </w:rPr>
        <w:t>Under section 41 of the National Law</w:t>
      </w:r>
      <w:r w:rsidR="000A1ED6">
        <w:rPr>
          <w:rFonts w:ascii="Arial" w:hAnsi="Arial" w:cs="Arial"/>
          <w:sz w:val="20"/>
          <w:szCs w:val="20"/>
        </w:rPr>
        <w:t>,</w:t>
      </w:r>
      <w:r w:rsidRPr="00D00549">
        <w:rPr>
          <w:rFonts w:ascii="Arial" w:hAnsi="Arial" w:cs="Arial"/>
          <w:sz w:val="20"/>
          <w:szCs w:val="20"/>
        </w:rPr>
        <w:t xml:space="preserve"> Board guidelines can be used in disciplinary proceedings under the National Law or law of a co-regulatory jurisdiction, as evidence of what constitutes appropriate professional conduct or practice for pharmacists.  </w:t>
      </w:r>
    </w:p>
    <w:p w:rsidR="00D00549" w:rsidRPr="00D00549" w:rsidRDefault="00D00549" w:rsidP="00D00549">
      <w:pPr>
        <w:spacing w:after="200"/>
        <w:jc w:val="both"/>
        <w:rPr>
          <w:rFonts w:ascii="Arial" w:hAnsi="Arial" w:cs="Arial"/>
          <w:sz w:val="20"/>
          <w:szCs w:val="20"/>
        </w:rPr>
      </w:pPr>
      <w:r w:rsidRPr="00D00549">
        <w:rPr>
          <w:rFonts w:ascii="Arial" w:hAnsi="Arial" w:cs="Arial"/>
          <w:sz w:val="20"/>
          <w:szCs w:val="20"/>
        </w:rPr>
        <w:t>When considering notifications (complaints) against pharmacists, the Board may give consideration to whether a breach to Board guidelines has taken place.</w:t>
      </w:r>
    </w:p>
    <w:p w:rsidR="00D00549" w:rsidRPr="00D00549" w:rsidRDefault="00D00549" w:rsidP="00D00549">
      <w:pPr>
        <w:spacing w:after="200"/>
        <w:rPr>
          <w:rFonts w:ascii="Arial" w:hAnsi="Arial" w:cs="Arial"/>
          <w:sz w:val="20"/>
          <w:szCs w:val="20"/>
        </w:rPr>
      </w:pPr>
      <w:r>
        <w:rPr>
          <w:rFonts w:ascii="Arial" w:hAnsi="Arial" w:cs="Arial"/>
          <w:sz w:val="20"/>
          <w:szCs w:val="20"/>
        </w:rPr>
        <w:t xml:space="preserve">Refer to the Board’s </w:t>
      </w:r>
      <w:hyperlink r:id="rId16" w:history="1">
        <w:r w:rsidRPr="00D00549">
          <w:rPr>
            <w:rStyle w:val="Hyperlink"/>
            <w:rFonts w:ascii="Arial" w:hAnsi="Arial" w:cs="Arial"/>
            <w:sz w:val="20"/>
            <w:szCs w:val="20"/>
          </w:rPr>
          <w:t xml:space="preserve">website </w:t>
        </w:r>
      </w:hyperlink>
      <w:r>
        <w:rPr>
          <w:rFonts w:ascii="Arial" w:hAnsi="Arial" w:cs="Arial"/>
          <w:sz w:val="20"/>
          <w:szCs w:val="20"/>
        </w:rPr>
        <w:t>for details of s</w:t>
      </w:r>
      <w:r w:rsidRPr="00D00549">
        <w:rPr>
          <w:rFonts w:ascii="Arial" w:hAnsi="Arial" w:cs="Arial"/>
          <w:sz w:val="20"/>
          <w:szCs w:val="20"/>
        </w:rPr>
        <w:t>ome of the changes to the guidelines</w:t>
      </w:r>
      <w:r>
        <w:rPr>
          <w:rFonts w:ascii="Arial" w:hAnsi="Arial" w:cs="Arial"/>
          <w:sz w:val="20"/>
          <w:szCs w:val="20"/>
        </w:rPr>
        <w:t xml:space="preserve">.  A copy of the revised guidelines can be accessed on the Board’s website under </w:t>
      </w:r>
      <w:hyperlink r:id="rId17" w:history="1">
        <w:r w:rsidRPr="00D00549">
          <w:rPr>
            <w:rStyle w:val="Hyperlink"/>
            <w:rFonts w:ascii="Arial" w:hAnsi="Arial" w:cs="Arial"/>
            <w:sz w:val="20"/>
            <w:szCs w:val="20"/>
          </w:rPr>
          <w:t>Codes, Guidelines and Policies</w:t>
        </w:r>
      </w:hyperlink>
      <w:r>
        <w:rPr>
          <w:rFonts w:ascii="Arial" w:hAnsi="Arial" w:cs="Arial"/>
          <w:sz w:val="20"/>
          <w:szCs w:val="20"/>
        </w:rPr>
        <w:t xml:space="preserve">. </w:t>
      </w:r>
    </w:p>
    <w:p w:rsidR="002C7EFD" w:rsidRPr="000C56DF" w:rsidRDefault="002C7EFD" w:rsidP="002C7EFD">
      <w:pPr>
        <w:pStyle w:val="Default"/>
        <w:spacing w:after="200"/>
        <w:rPr>
          <w:b/>
          <w:bCs/>
          <w:color w:val="008EC4"/>
          <w:sz w:val="20"/>
          <w:szCs w:val="20"/>
        </w:rPr>
      </w:pPr>
      <w:r w:rsidRPr="000C56DF">
        <w:rPr>
          <w:b/>
          <w:bCs/>
          <w:color w:val="008EC4"/>
          <w:sz w:val="20"/>
          <w:szCs w:val="20"/>
        </w:rPr>
        <w:t>New RACGP guide on prescribing benzodiazepines</w:t>
      </w:r>
    </w:p>
    <w:p w:rsidR="002C7EFD" w:rsidRDefault="002C7EFD" w:rsidP="002C7EFD">
      <w:pPr>
        <w:spacing w:after="200"/>
        <w:jc w:val="both"/>
        <w:rPr>
          <w:rFonts w:ascii="Arial" w:hAnsi="Arial" w:cs="Arial"/>
          <w:sz w:val="20"/>
          <w:szCs w:val="20"/>
          <w:lang w:val="en-US"/>
        </w:rPr>
      </w:pPr>
      <w:r w:rsidRPr="000C56DF">
        <w:rPr>
          <w:rFonts w:ascii="Arial" w:hAnsi="Arial" w:cs="Arial"/>
          <w:sz w:val="20"/>
          <w:szCs w:val="20"/>
          <w:lang w:val="en-US"/>
        </w:rPr>
        <w:t xml:space="preserve">The Royal Australian College of General Practitioners (RACGP) has released a new guide for general practitioners on prescribing benzodiazepines, focusing on patient-centred care, accountable prescribing and harm reduction. Also available is a clinical governance framework for prescribing drugs of dependence in general practice, which provides practices with principles, strategies and tools in relation to prescribing drugs of dependence. </w:t>
      </w:r>
      <w:r>
        <w:rPr>
          <w:rFonts w:ascii="Arial" w:hAnsi="Arial" w:cs="Arial"/>
          <w:sz w:val="20"/>
          <w:szCs w:val="20"/>
          <w:lang w:val="en-US"/>
        </w:rPr>
        <w:t xml:space="preserve">These guides, which may be of value to pharmacists in their practice, are available on the </w:t>
      </w:r>
      <w:hyperlink r:id="rId18" w:history="1">
        <w:r w:rsidRPr="000C56DF">
          <w:rPr>
            <w:rStyle w:val="Hyperlink"/>
            <w:rFonts w:ascii="Arial" w:hAnsi="Arial" w:cs="Arial"/>
            <w:sz w:val="20"/>
            <w:szCs w:val="20"/>
            <w:lang w:val="en-US"/>
          </w:rPr>
          <w:t>RACGP website</w:t>
        </w:r>
      </w:hyperlink>
      <w:r>
        <w:rPr>
          <w:rFonts w:ascii="Arial" w:hAnsi="Arial" w:cs="Arial"/>
          <w:sz w:val="20"/>
          <w:szCs w:val="20"/>
          <w:lang w:val="en-US"/>
        </w:rPr>
        <w:t>.</w:t>
      </w:r>
    </w:p>
    <w:p w:rsidR="00BF69C6" w:rsidRPr="00BF69C6" w:rsidRDefault="00BF69C6" w:rsidP="00BF69C6">
      <w:pPr>
        <w:pStyle w:val="Default"/>
        <w:spacing w:after="200"/>
        <w:rPr>
          <w:b/>
          <w:bCs/>
          <w:color w:val="008EC4"/>
          <w:sz w:val="20"/>
          <w:szCs w:val="20"/>
        </w:rPr>
      </w:pPr>
      <w:r w:rsidRPr="00BF69C6">
        <w:rPr>
          <w:b/>
          <w:bCs/>
          <w:color w:val="008EC4"/>
          <w:sz w:val="20"/>
          <w:szCs w:val="20"/>
        </w:rPr>
        <w:t>Changes to Medicines Australia code of conduct affecting pharmacists</w:t>
      </w:r>
    </w:p>
    <w:p w:rsidR="00BF69C6" w:rsidRPr="00BF69C6" w:rsidRDefault="00BF69C6" w:rsidP="00BF69C6">
      <w:pPr>
        <w:spacing w:after="200"/>
        <w:jc w:val="both"/>
        <w:rPr>
          <w:rFonts w:ascii="Arial" w:hAnsi="Arial" w:cs="Arial"/>
          <w:sz w:val="20"/>
          <w:szCs w:val="20"/>
        </w:rPr>
      </w:pPr>
      <w:r w:rsidRPr="00BF69C6">
        <w:rPr>
          <w:rFonts w:ascii="Arial" w:hAnsi="Arial" w:cs="Arial"/>
          <w:sz w:val="20"/>
          <w:szCs w:val="20"/>
        </w:rPr>
        <w:t xml:space="preserve">Pharmacists should be aware of changes to Medicines Australia’s code of conduct. Medicines Australia is a membership organisation for pharmaceutical companies in Australia. Its code of conduct sets standards for the advertising and promotion of prescription medicines and applies to all member organisations. </w:t>
      </w:r>
    </w:p>
    <w:p w:rsidR="00BF69C6" w:rsidRPr="00BF69C6" w:rsidRDefault="00BF69C6" w:rsidP="00BF69C6">
      <w:pPr>
        <w:spacing w:after="200"/>
        <w:jc w:val="both"/>
        <w:rPr>
          <w:rFonts w:ascii="Arial" w:hAnsi="Arial" w:cs="Arial"/>
          <w:sz w:val="20"/>
          <w:szCs w:val="20"/>
        </w:rPr>
      </w:pPr>
      <w:r w:rsidRPr="00BF69C6">
        <w:rPr>
          <w:rFonts w:ascii="Arial" w:hAnsi="Arial" w:cs="Arial"/>
          <w:sz w:val="20"/>
          <w:szCs w:val="20"/>
        </w:rPr>
        <w:t xml:space="preserve">The revised code requires member companies to publicly disclose payments made to health professionals for their expert service or when financial support is provided for education purposes, including airfares, accommodation and conference registration fees. </w:t>
      </w:r>
    </w:p>
    <w:p w:rsidR="003A047A" w:rsidRDefault="00BF69C6" w:rsidP="00BF69C6">
      <w:pPr>
        <w:spacing w:after="200"/>
        <w:jc w:val="both"/>
        <w:rPr>
          <w:rFonts w:ascii="Arial" w:hAnsi="Arial" w:cs="Arial"/>
          <w:sz w:val="20"/>
          <w:szCs w:val="20"/>
        </w:rPr>
      </w:pPr>
      <w:r w:rsidRPr="00BF69C6">
        <w:rPr>
          <w:rFonts w:ascii="Arial" w:hAnsi="Arial" w:cs="Arial"/>
          <w:sz w:val="20"/>
          <w:szCs w:val="20"/>
        </w:rPr>
        <w:t xml:space="preserve">The new requirements in the code come into effect on 1 October 2015 and reporting of all payments will be mandatory from 1 October 2016. More information is available on the </w:t>
      </w:r>
      <w:hyperlink r:id="rId19" w:tgtFrame="_blank" w:history="1">
        <w:r w:rsidRPr="00BF69C6">
          <w:rPr>
            <w:rStyle w:val="Hyperlink"/>
            <w:rFonts w:ascii="Arial" w:hAnsi="Arial" w:cs="Arial"/>
            <w:sz w:val="20"/>
            <w:szCs w:val="20"/>
          </w:rPr>
          <w:t>Medicines Australia</w:t>
        </w:r>
      </w:hyperlink>
      <w:r w:rsidRPr="00BF69C6">
        <w:rPr>
          <w:rFonts w:ascii="Arial" w:hAnsi="Arial" w:cs="Arial"/>
          <w:sz w:val="20"/>
          <w:szCs w:val="20"/>
        </w:rPr>
        <w:t xml:space="preserve"> website. </w:t>
      </w:r>
    </w:p>
    <w:p w:rsidR="003A047A" w:rsidRDefault="003A047A">
      <w:pPr>
        <w:rPr>
          <w:rFonts w:ascii="Arial" w:hAnsi="Arial" w:cs="Arial"/>
          <w:sz w:val="20"/>
          <w:szCs w:val="20"/>
        </w:rPr>
      </w:pPr>
      <w:r>
        <w:rPr>
          <w:rFonts w:ascii="Arial" w:hAnsi="Arial" w:cs="Arial"/>
          <w:sz w:val="20"/>
          <w:szCs w:val="20"/>
        </w:rPr>
        <w:br w:type="page"/>
      </w:r>
    </w:p>
    <w:p w:rsidR="00CC6DD5" w:rsidRPr="001F3193" w:rsidRDefault="001F3193" w:rsidP="001F3193">
      <w:pPr>
        <w:pStyle w:val="Default"/>
        <w:spacing w:after="200"/>
        <w:rPr>
          <w:b/>
          <w:bCs/>
          <w:color w:val="008EC4"/>
          <w:sz w:val="20"/>
          <w:szCs w:val="20"/>
        </w:rPr>
      </w:pPr>
      <w:r w:rsidRPr="001F3193">
        <w:rPr>
          <w:b/>
          <w:bCs/>
          <w:color w:val="008EC4"/>
          <w:sz w:val="20"/>
          <w:szCs w:val="20"/>
        </w:rPr>
        <w:lastRenderedPageBreak/>
        <w:t xml:space="preserve">Further information </w:t>
      </w:r>
    </w:p>
    <w:p w:rsidR="001F3193" w:rsidRPr="00553EAC" w:rsidRDefault="001F3193" w:rsidP="001F3193">
      <w:pPr>
        <w:pStyle w:val="AHPRAbody0"/>
      </w:pPr>
      <w:r w:rsidRPr="00553EAC">
        <w:t xml:space="preserve">The Board publishes a range of information </w:t>
      </w:r>
      <w:r>
        <w:t xml:space="preserve">for pharmacists on its website at </w:t>
      </w:r>
      <w:hyperlink r:id="rId20" w:history="1">
        <w:r w:rsidRPr="00C472AE">
          <w:rPr>
            <w:rStyle w:val="Hyperlink"/>
          </w:rPr>
          <w:t>www.pharmacyboard.gov.au</w:t>
        </w:r>
      </w:hyperlink>
      <w:r>
        <w:t>.</w:t>
      </w:r>
    </w:p>
    <w:p w:rsidR="001F3193" w:rsidRDefault="001F3193" w:rsidP="001F3193">
      <w:pPr>
        <w:pStyle w:val="AHPRAbody0"/>
      </w:pPr>
      <w:r w:rsidRPr="00553EAC">
        <w:t>For more information about registration</w:t>
      </w:r>
      <w:r>
        <w:t>, notifications or other matters relevant to the National Registration and Accreditation Scheme</w:t>
      </w:r>
      <w:r w:rsidRPr="00553EAC">
        <w:t xml:space="preserve"> </w:t>
      </w:r>
      <w:r>
        <w:t xml:space="preserve">also refer to information published on </w:t>
      </w:r>
      <w:hyperlink r:id="rId21" w:history="1">
        <w:r w:rsidRPr="00C472AE">
          <w:rPr>
            <w:rStyle w:val="Hyperlink"/>
          </w:rPr>
          <w:t>www.ahpra.gov.au</w:t>
        </w:r>
      </w:hyperlink>
      <w:r>
        <w:t xml:space="preserve"> or s</w:t>
      </w:r>
      <w:r w:rsidRPr="00553EAC">
        <w:t xml:space="preserve">end an </w:t>
      </w:r>
      <w:hyperlink r:id="rId22"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DC75FA" w:rsidRDefault="00DC75FA" w:rsidP="00374277">
      <w:pPr>
        <w:spacing w:after="200"/>
        <w:contextualSpacing/>
        <w:jc w:val="both"/>
        <w:rPr>
          <w:rFonts w:ascii="Arial" w:hAnsi="Arial" w:cs="Arial"/>
          <w:sz w:val="20"/>
          <w:szCs w:val="20"/>
          <w:lang w:val="en-US"/>
        </w:rPr>
      </w:pPr>
    </w:p>
    <w:p w:rsidR="000A3981" w:rsidRPr="001B3F78" w:rsidRDefault="00485106" w:rsidP="00374277">
      <w:pPr>
        <w:spacing w:after="200"/>
        <w:contextualSpacing/>
        <w:jc w:val="both"/>
        <w:rPr>
          <w:rFonts w:ascii="Arial" w:hAnsi="Arial" w:cs="Arial"/>
          <w:sz w:val="20"/>
          <w:szCs w:val="20"/>
          <w:lang w:val="en-US"/>
        </w:rPr>
      </w:pPr>
      <w:r>
        <w:rPr>
          <w:rFonts w:ascii="Arial" w:hAnsi="Arial" w:cs="Arial"/>
          <w:sz w:val="20"/>
          <w:szCs w:val="20"/>
          <w:lang w:val="en-US"/>
        </w:rPr>
        <w:t>William Kelly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Pr="00BA3C17" w:rsidRDefault="006F16BD" w:rsidP="00203DEB">
      <w:pPr>
        <w:spacing w:after="200"/>
        <w:rPr>
          <w:rFonts w:ascii="Arial" w:hAnsi="Arial" w:cs="Arial"/>
          <w:sz w:val="20"/>
          <w:szCs w:val="20"/>
          <w:lang w:val="en-US"/>
        </w:rPr>
      </w:pPr>
      <w:r>
        <w:rPr>
          <w:rFonts w:ascii="Arial" w:hAnsi="Arial" w:cs="Arial"/>
          <w:sz w:val="20"/>
          <w:szCs w:val="20"/>
          <w:lang w:val="en-US"/>
        </w:rPr>
        <w:t>29</w:t>
      </w:r>
      <w:r w:rsidR="00485106" w:rsidRPr="007363E2">
        <w:rPr>
          <w:rFonts w:ascii="Arial" w:hAnsi="Arial" w:cs="Arial"/>
          <w:sz w:val="20"/>
          <w:szCs w:val="20"/>
          <w:lang w:val="en-US"/>
        </w:rPr>
        <w:t xml:space="preserve"> September </w:t>
      </w:r>
      <w:r w:rsidR="00203DEB" w:rsidRPr="007363E2">
        <w:rPr>
          <w:rFonts w:ascii="Arial" w:hAnsi="Arial" w:cs="Arial"/>
          <w:sz w:val="20"/>
          <w:szCs w:val="20"/>
          <w:lang w:val="en-US"/>
        </w:rPr>
        <w:t>2015</w:t>
      </w:r>
    </w:p>
    <w:p w:rsidR="00E97FA1" w:rsidRPr="00E97FA1" w:rsidRDefault="00C345C3" w:rsidP="00E97FA1">
      <w:pPr>
        <w:pStyle w:val="AHPRAHeadline"/>
        <w:spacing w:after="0"/>
        <w:rPr>
          <w:i/>
          <w:color w:val="auto"/>
          <w:sz w:val="18"/>
          <w:szCs w:val="18"/>
        </w:rPr>
      </w:pPr>
      <w:hyperlink r:id="rId23"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24"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25"/>
      <w:headerReference w:type="first" r:id="rId26"/>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5B" w:rsidRDefault="0092755B" w:rsidP="002D7FF3">
      <w:r>
        <w:separator/>
      </w:r>
    </w:p>
  </w:endnote>
  <w:endnote w:type="continuationSeparator" w:id="0">
    <w:p w:rsidR="0092755B" w:rsidRDefault="0092755B"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92755B" w:rsidRPr="007B4773" w:rsidRDefault="00280D64">
        <w:pPr>
          <w:pStyle w:val="Footer"/>
          <w:jc w:val="right"/>
          <w:rPr>
            <w:rFonts w:ascii="Arial" w:hAnsi="Arial" w:cs="Arial"/>
            <w:sz w:val="20"/>
            <w:szCs w:val="20"/>
          </w:rPr>
        </w:pPr>
        <w:r w:rsidRPr="007B4773">
          <w:rPr>
            <w:rFonts w:ascii="Arial" w:hAnsi="Arial" w:cs="Arial"/>
            <w:sz w:val="20"/>
            <w:szCs w:val="20"/>
          </w:rPr>
          <w:fldChar w:fldCharType="begin"/>
        </w:r>
        <w:r w:rsidR="0092755B"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C345C3">
          <w:rPr>
            <w:rFonts w:ascii="Arial" w:hAnsi="Arial" w:cs="Arial"/>
            <w:noProof/>
            <w:sz w:val="20"/>
            <w:szCs w:val="20"/>
          </w:rPr>
          <w:t>3</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5B" w:rsidRDefault="0092755B" w:rsidP="002D7FF3">
      <w:r>
        <w:separator/>
      </w:r>
    </w:p>
  </w:footnote>
  <w:footnote w:type="continuationSeparator" w:id="0">
    <w:p w:rsidR="0092755B" w:rsidRDefault="0092755B" w:rsidP="002D7FF3">
      <w:r>
        <w:continuationSeparator/>
      </w:r>
    </w:p>
  </w:footnote>
  <w:footnote w:id="1">
    <w:p w:rsidR="0092755B" w:rsidRDefault="0092755B" w:rsidP="000C357A">
      <w:pPr>
        <w:pStyle w:val="FootnoteText"/>
        <w:spacing w:after="60"/>
      </w:pPr>
      <w:r>
        <w:rPr>
          <w:rStyle w:val="FootnoteReference"/>
        </w:rPr>
        <w:footnoteRef/>
      </w:r>
      <w:r>
        <w:t xml:space="preserve"> </w:t>
      </w:r>
      <w:r w:rsidRPr="00D00549">
        <w:rPr>
          <w:rFonts w:ascii="Arial" w:hAnsi="Arial" w:cs="Arial"/>
          <w:sz w:val="18"/>
        </w:rPr>
        <w:t>The Health Practitioner Regulation National Law, as in force in each state and territory (the National Law)</w:t>
      </w:r>
    </w:p>
  </w:footnote>
  <w:footnote w:id="2">
    <w:p w:rsidR="000C357A" w:rsidRPr="000C357A" w:rsidRDefault="000C357A" w:rsidP="000C357A">
      <w:pPr>
        <w:pStyle w:val="FootnoteText"/>
        <w:spacing w:after="60"/>
        <w:rPr>
          <w:rFonts w:ascii="Arial" w:hAnsi="Arial" w:cs="Arial"/>
          <w:sz w:val="18"/>
        </w:rPr>
      </w:pPr>
      <w:r>
        <w:rPr>
          <w:rStyle w:val="FootnoteReference"/>
        </w:rPr>
        <w:footnoteRef/>
      </w:r>
      <w:r>
        <w:t xml:space="preserve"> </w:t>
      </w:r>
      <w:r w:rsidRPr="000C357A">
        <w:rPr>
          <w:rFonts w:ascii="Arial" w:hAnsi="Arial" w:cs="Arial"/>
          <w:sz w:val="18"/>
        </w:rPr>
        <w:t>New South Wales i</w:t>
      </w:r>
      <w:r w:rsidR="00036087">
        <w:rPr>
          <w:rFonts w:ascii="Arial" w:hAnsi="Arial" w:cs="Arial"/>
          <w:sz w:val="18"/>
        </w:rPr>
        <w:t>s a co-regulatory jurisdiction and</w:t>
      </w:r>
      <w:r w:rsidR="00036087" w:rsidRPr="000C357A">
        <w:rPr>
          <w:rFonts w:ascii="Arial" w:hAnsi="Arial" w:cs="Arial"/>
          <w:sz w:val="18"/>
        </w:rPr>
        <w:t xml:space="preserve"> </w:t>
      </w:r>
      <w:r w:rsidR="00036087">
        <w:rPr>
          <w:rFonts w:ascii="Arial" w:hAnsi="Arial" w:cs="Arial"/>
          <w:sz w:val="18"/>
        </w:rPr>
        <w:t>does not participate</w:t>
      </w:r>
      <w:r w:rsidR="00036087" w:rsidRPr="000C357A">
        <w:rPr>
          <w:rFonts w:ascii="Arial" w:hAnsi="Arial" w:cs="Arial"/>
          <w:sz w:val="18"/>
        </w:rPr>
        <w:t xml:space="preserve"> in the health, performance and conduct process provided by the National Law, but is involved in other parts of the National Scheme.</w:t>
      </w:r>
      <w:r w:rsidR="00036087">
        <w:rPr>
          <w:rFonts w:ascii="Arial" w:hAnsi="Arial" w:cs="Arial"/>
          <w:sz w:val="18"/>
        </w:rPr>
        <w:t xml:space="preserve">  The</w:t>
      </w:r>
      <w:hyperlink r:id="rId1" w:history="1">
        <w:r w:rsidR="00036087" w:rsidRPr="003A047A">
          <w:rPr>
            <w:rStyle w:val="Hyperlink"/>
            <w:rFonts w:ascii="Arial" w:hAnsi="Arial" w:cs="Arial"/>
            <w:sz w:val="18"/>
          </w:rPr>
          <w:t xml:space="preserve"> </w:t>
        </w:r>
        <w:r w:rsidRPr="003A047A">
          <w:rPr>
            <w:rStyle w:val="Hyperlink"/>
            <w:rFonts w:ascii="Arial" w:hAnsi="Arial" w:cs="Arial"/>
            <w:sz w:val="18"/>
          </w:rPr>
          <w:t xml:space="preserve">health professionals councils </w:t>
        </w:r>
        <w:r w:rsidRPr="003A047A">
          <w:rPr>
            <w:rStyle w:val="Hyperlink"/>
            <w:rFonts w:ascii="Arial" w:hAnsi="Arial" w:cs="Arial"/>
            <w:color w:val="auto"/>
            <w:sz w:val="18"/>
            <w:u w:val="none"/>
          </w:rPr>
          <w:t>work with the</w:t>
        </w:r>
        <w:r w:rsidRPr="003A047A">
          <w:rPr>
            <w:rStyle w:val="Hyperlink"/>
            <w:rFonts w:ascii="Arial" w:hAnsi="Arial" w:cs="Arial"/>
            <w:sz w:val="18"/>
            <w:u w:val="none"/>
          </w:rPr>
          <w:t xml:space="preserve"> </w:t>
        </w:r>
        <w:r w:rsidRPr="003A047A">
          <w:rPr>
            <w:rStyle w:val="Hyperlink"/>
            <w:rFonts w:ascii="Arial" w:hAnsi="Arial" w:cs="Arial"/>
            <w:sz w:val="18"/>
          </w:rPr>
          <w:t xml:space="preserve">Health Care Complaints Commission </w:t>
        </w:r>
      </w:hyperlink>
      <w:r w:rsidRPr="000C357A">
        <w:rPr>
          <w:rFonts w:ascii="Arial" w:hAnsi="Arial" w:cs="Arial"/>
          <w:sz w:val="18"/>
        </w:rPr>
        <w:t>to assess and manage concerns about practitioners’ conduct, health and performance</w:t>
      </w:r>
      <w:r w:rsidR="00036087">
        <w:rPr>
          <w:rFonts w:ascii="Arial" w:hAnsi="Arial" w:cs="Arial"/>
          <w:sz w:val="18"/>
        </w:rPr>
        <w:t xml:space="preserve"> in NSW</w:t>
      </w:r>
      <w:r w:rsidRPr="000C357A">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5B" w:rsidRDefault="0092755B" w:rsidP="00243101">
    <w:pPr>
      <w:pStyle w:val="Header"/>
      <w:jc w:val="right"/>
    </w:pPr>
    <w:r>
      <w:rPr>
        <w:noProof/>
        <w:sz w:val="20"/>
        <w:szCs w:val="20"/>
      </w:rPr>
      <w:drawing>
        <wp:inline distT="0" distB="0" distL="0" distR="0">
          <wp:extent cx="1294130" cy="1294130"/>
          <wp:effectExtent l="0" t="0" r="0" b="0"/>
          <wp:docPr id="1" name="Picture 1"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75pt;height:3.75pt" o:bullet="t">
        <v:imagedata r:id="rId1" o:title="squaredotpoint-orang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E53174"/>
    <w:multiLevelType w:val="hybridMultilevel"/>
    <w:tmpl w:val="E4367D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D373706"/>
    <w:multiLevelType w:val="hybridMultilevel"/>
    <w:tmpl w:val="17A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C37F8"/>
    <w:multiLevelType w:val="multilevel"/>
    <w:tmpl w:val="DD8A82D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F1729"/>
    <w:multiLevelType w:val="multilevel"/>
    <w:tmpl w:val="68E6B28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D076D"/>
    <w:multiLevelType w:val="multilevel"/>
    <w:tmpl w:val="410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65A99"/>
    <w:multiLevelType w:val="hybridMultilevel"/>
    <w:tmpl w:val="AC76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4760F"/>
    <w:multiLevelType w:val="multilevel"/>
    <w:tmpl w:val="E6107B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37A4D"/>
    <w:multiLevelType w:val="multilevel"/>
    <w:tmpl w:val="4A1229B4"/>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6446A"/>
    <w:multiLevelType w:val="multilevel"/>
    <w:tmpl w:val="B56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87CE5"/>
    <w:multiLevelType w:val="multilevel"/>
    <w:tmpl w:val="845084E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C4F4E"/>
    <w:multiLevelType w:val="hybridMultilevel"/>
    <w:tmpl w:val="440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A61892"/>
    <w:multiLevelType w:val="multilevel"/>
    <w:tmpl w:val="99B40A9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75359"/>
    <w:multiLevelType w:val="multilevel"/>
    <w:tmpl w:val="96EEA07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E6D6B"/>
    <w:multiLevelType w:val="hybridMultilevel"/>
    <w:tmpl w:val="FB7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64B91"/>
    <w:multiLevelType w:val="multilevel"/>
    <w:tmpl w:val="87D6AB8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E7C80"/>
    <w:multiLevelType w:val="multilevel"/>
    <w:tmpl w:val="37B47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67106"/>
    <w:multiLevelType w:val="hybridMultilevel"/>
    <w:tmpl w:val="A8A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127F80"/>
    <w:multiLevelType w:val="hybridMultilevel"/>
    <w:tmpl w:val="AC747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42B6739"/>
    <w:multiLevelType w:val="multilevel"/>
    <w:tmpl w:val="A05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num w:numId="1">
    <w:abstractNumId w:val="15"/>
  </w:num>
  <w:num w:numId="2">
    <w:abstractNumId w:val="23"/>
  </w:num>
  <w:num w:numId="3">
    <w:abstractNumId w:val="33"/>
  </w:num>
  <w:num w:numId="4">
    <w:abstractNumId w:val="1"/>
  </w:num>
  <w:num w:numId="5">
    <w:abstractNumId w:val="34"/>
  </w:num>
  <w:num w:numId="6">
    <w:abstractNumId w:val="3"/>
  </w:num>
  <w:num w:numId="7">
    <w:abstractNumId w:val="20"/>
  </w:num>
  <w:num w:numId="8">
    <w:abstractNumId w:val="29"/>
  </w:num>
  <w:num w:numId="9">
    <w:abstractNumId w:val="16"/>
  </w:num>
  <w:num w:numId="10">
    <w:abstractNumId w:val="28"/>
  </w:num>
  <w:num w:numId="11">
    <w:abstractNumId w:val="9"/>
  </w:num>
  <w:num w:numId="12">
    <w:abstractNumId w:val="27"/>
  </w:num>
  <w:num w:numId="13">
    <w:abstractNumId w:val="30"/>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1"/>
  </w:num>
  <w:num w:numId="18">
    <w:abstractNumId w:val="25"/>
  </w:num>
  <w:num w:numId="19">
    <w:abstractNumId w:val="26"/>
  </w:num>
  <w:num w:numId="20">
    <w:abstractNumId w:val="4"/>
  </w:num>
  <w:num w:numId="21">
    <w:abstractNumId w:val="17"/>
  </w:num>
  <w:num w:numId="22">
    <w:abstractNumId w:val="32"/>
  </w:num>
  <w:num w:numId="23">
    <w:abstractNumId w:val="7"/>
  </w:num>
  <w:num w:numId="24">
    <w:abstractNumId w:val="22"/>
  </w:num>
  <w:num w:numId="25">
    <w:abstractNumId w:val="18"/>
  </w:num>
  <w:num w:numId="26">
    <w:abstractNumId w:val="2"/>
  </w:num>
  <w:num w:numId="27">
    <w:abstractNumId w:val="13"/>
  </w:num>
  <w:num w:numId="28">
    <w:abstractNumId w:val="15"/>
  </w:num>
  <w:num w:numId="29">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1"/>
  </w:num>
  <w:num w:numId="32">
    <w:abstractNumId w:val="0"/>
  </w:num>
  <w:num w:numId="33">
    <w:abstractNumId w:val="14"/>
  </w:num>
  <w:num w:numId="34">
    <w:abstractNumId w:val="12"/>
  </w:num>
  <w:num w:numId="35">
    <w:abstractNumId w:val="8"/>
  </w:num>
  <w:num w:numId="36">
    <w:abstractNumId w:val="5"/>
  </w:num>
  <w:num w:numId="3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471F"/>
    <w:rsid w:val="00015794"/>
    <w:rsid w:val="00015B20"/>
    <w:rsid w:val="0001609D"/>
    <w:rsid w:val="00017D29"/>
    <w:rsid w:val="00021BB4"/>
    <w:rsid w:val="00022B7C"/>
    <w:rsid w:val="0002402B"/>
    <w:rsid w:val="00030834"/>
    <w:rsid w:val="000309BE"/>
    <w:rsid w:val="000326C0"/>
    <w:rsid w:val="00036087"/>
    <w:rsid w:val="000420DA"/>
    <w:rsid w:val="00045461"/>
    <w:rsid w:val="0004588C"/>
    <w:rsid w:val="000464DD"/>
    <w:rsid w:val="000503F5"/>
    <w:rsid w:val="000532AB"/>
    <w:rsid w:val="00053B70"/>
    <w:rsid w:val="00054468"/>
    <w:rsid w:val="00060613"/>
    <w:rsid w:val="000644A3"/>
    <w:rsid w:val="000707D2"/>
    <w:rsid w:val="000734F5"/>
    <w:rsid w:val="0008096D"/>
    <w:rsid w:val="00080B61"/>
    <w:rsid w:val="00081234"/>
    <w:rsid w:val="00082F9A"/>
    <w:rsid w:val="00086234"/>
    <w:rsid w:val="00092048"/>
    <w:rsid w:val="000930B5"/>
    <w:rsid w:val="00095089"/>
    <w:rsid w:val="00095482"/>
    <w:rsid w:val="00095637"/>
    <w:rsid w:val="000A1ED6"/>
    <w:rsid w:val="000A3981"/>
    <w:rsid w:val="000A424F"/>
    <w:rsid w:val="000A430B"/>
    <w:rsid w:val="000A7415"/>
    <w:rsid w:val="000B19FC"/>
    <w:rsid w:val="000B4852"/>
    <w:rsid w:val="000B7269"/>
    <w:rsid w:val="000C2A99"/>
    <w:rsid w:val="000C357A"/>
    <w:rsid w:val="000C397F"/>
    <w:rsid w:val="000C4DCB"/>
    <w:rsid w:val="000C54F6"/>
    <w:rsid w:val="000C56DF"/>
    <w:rsid w:val="000C5E53"/>
    <w:rsid w:val="000C6B3B"/>
    <w:rsid w:val="000D0008"/>
    <w:rsid w:val="000D0311"/>
    <w:rsid w:val="000D1C9B"/>
    <w:rsid w:val="000D2D01"/>
    <w:rsid w:val="000D42C5"/>
    <w:rsid w:val="000E5C6A"/>
    <w:rsid w:val="000E760F"/>
    <w:rsid w:val="000E7A85"/>
    <w:rsid w:val="000F524B"/>
    <w:rsid w:val="00102E74"/>
    <w:rsid w:val="001053EB"/>
    <w:rsid w:val="0010689C"/>
    <w:rsid w:val="0011403A"/>
    <w:rsid w:val="00114784"/>
    <w:rsid w:val="001165C6"/>
    <w:rsid w:val="0011685E"/>
    <w:rsid w:val="00122EDC"/>
    <w:rsid w:val="001255DD"/>
    <w:rsid w:val="00125912"/>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2267"/>
    <w:rsid w:val="0017513B"/>
    <w:rsid w:val="0017554A"/>
    <w:rsid w:val="001758E0"/>
    <w:rsid w:val="00175D7E"/>
    <w:rsid w:val="00176D81"/>
    <w:rsid w:val="00180A27"/>
    <w:rsid w:val="001812E7"/>
    <w:rsid w:val="00181DD0"/>
    <w:rsid w:val="001857D4"/>
    <w:rsid w:val="00190C76"/>
    <w:rsid w:val="0019186E"/>
    <w:rsid w:val="00191DF4"/>
    <w:rsid w:val="00192EAE"/>
    <w:rsid w:val="00193F50"/>
    <w:rsid w:val="00193F6F"/>
    <w:rsid w:val="00196E23"/>
    <w:rsid w:val="00196FA4"/>
    <w:rsid w:val="00197E85"/>
    <w:rsid w:val="001A1C25"/>
    <w:rsid w:val="001A23BF"/>
    <w:rsid w:val="001A281D"/>
    <w:rsid w:val="001A36ED"/>
    <w:rsid w:val="001A55AD"/>
    <w:rsid w:val="001B1EB8"/>
    <w:rsid w:val="001B3F78"/>
    <w:rsid w:val="001B4E72"/>
    <w:rsid w:val="001B7E17"/>
    <w:rsid w:val="001C6681"/>
    <w:rsid w:val="001D1378"/>
    <w:rsid w:val="001D4D8B"/>
    <w:rsid w:val="001E2076"/>
    <w:rsid w:val="001E4C2E"/>
    <w:rsid w:val="001E694C"/>
    <w:rsid w:val="001F3193"/>
    <w:rsid w:val="001F39CC"/>
    <w:rsid w:val="001F570A"/>
    <w:rsid w:val="001F6D21"/>
    <w:rsid w:val="00203CDB"/>
    <w:rsid w:val="00203DEB"/>
    <w:rsid w:val="00203F51"/>
    <w:rsid w:val="0020696D"/>
    <w:rsid w:val="002101A4"/>
    <w:rsid w:val="0021220F"/>
    <w:rsid w:val="002151B9"/>
    <w:rsid w:val="0021717B"/>
    <w:rsid w:val="002246CE"/>
    <w:rsid w:val="00233055"/>
    <w:rsid w:val="002342C6"/>
    <w:rsid w:val="002362A0"/>
    <w:rsid w:val="002364E1"/>
    <w:rsid w:val="00240E65"/>
    <w:rsid w:val="00243101"/>
    <w:rsid w:val="00245EF3"/>
    <w:rsid w:val="00246848"/>
    <w:rsid w:val="00254849"/>
    <w:rsid w:val="00261C3E"/>
    <w:rsid w:val="00261D7F"/>
    <w:rsid w:val="00263FB2"/>
    <w:rsid w:val="002663E8"/>
    <w:rsid w:val="0027500E"/>
    <w:rsid w:val="00280D64"/>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C7E41"/>
    <w:rsid w:val="002C7EFD"/>
    <w:rsid w:val="002D041F"/>
    <w:rsid w:val="002D1F62"/>
    <w:rsid w:val="002D710B"/>
    <w:rsid w:val="002D7FF3"/>
    <w:rsid w:val="002E05E2"/>
    <w:rsid w:val="002E0FAF"/>
    <w:rsid w:val="002E2B14"/>
    <w:rsid w:val="002E52DA"/>
    <w:rsid w:val="002F57B0"/>
    <w:rsid w:val="00300002"/>
    <w:rsid w:val="00300DD0"/>
    <w:rsid w:val="00303B25"/>
    <w:rsid w:val="00310C3A"/>
    <w:rsid w:val="00315298"/>
    <w:rsid w:val="00317DA0"/>
    <w:rsid w:val="003209DA"/>
    <w:rsid w:val="00321944"/>
    <w:rsid w:val="00323D42"/>
    <w:rsid w:val="0032476E"/>
    <w:rsid w:val="003251F9"/>
    <w:rsid w:val="003277CD"/>
    <w:rsid w:val="00331A62"/>
    <w:rsid w:val="003352A4"/>
    <w:rsid w:val="00337CA8"/>
    <w:rsid w:val="00337ECB"/>
    <w:rsid w:val="00340C88"/>
    <w:rsid w:val="003421C1"/>
    <w:rsid w:val="003433C4"/>
    <w:rsid w:val="00344923"/>
    <w:rsid w:val="00344F56"/>
    <w:rsid w:val="00347530"/>
    <w:rsid w:val="00355819"/>
    <w:rsid w:val="00356ED6"/>
    <w:rsid w:val="003618AA"/>
    <w:rsid w:val="00374277"/>
    <w:rsid w:val="00375622"/>
    <w:rsid w:val="00376A9D"/>
    <w:rsid w:val="00380B47"/>
    <w:rsid w:val="00382CBC"/>
    <w:rsid w:val="00391359"/>
    <w:rsid w:val="003925FE"/>
    <w:rsid w:val="00392BE3"/>
    <w:rsid w:val="00394A73"/>
    <w:rsid w:val="003A047A"/>
    <w:rsid w:val="003A3BC6"/>
    <w:rsid w:val="003A4E0B"/>
    <w:rsid w:val="003A79F4"/>
    <w:rsid w:val="003B7DC0"/>
    <w:rsid w:val="003C247D"/>
    <w:rsid w:val="003C65BC"/>
    <w:rsid w:val="003D0C11"/>
    <w:rsid w:val="003D5FA2"/>
    <w:rsid w:val="003E64A3"/>
    <w:rsid w:val="003E6C3A"/>
    <w:rsid w:val="003F0249"/>
    <w:rsid w:val="003F2AB7"/>
    <w:rsid w:val="003F471B"/>
    <w:rsid w:val="003F7856"/>
    <w:rsid w:val="00400420"/>
    <w:rsid w:val="004009B3"/>
    <w:rsid w:val="00412C8C"/>
    <w:rsid w:val="0041535A"/>
    <w:rsid w:val="00423FF1"/>
    <w:rsid w:val="00424DDB"/>
    <w:rsid w:val="0043134E"/>
    <w:rsid w:val="0043138C"/>
    <w:rsid w:val="004319C1"/>
    <w:rsid w:val="004343AB"/>
    <w:rsid w:val="0043718F"/>
    <w:rsid w:val="00437262"/>
    <w:rsid w:val="00441B70"/>
    <w:rsid w:val="00445BE6"/>
    <w:rsid w:val="0045311B"/>
    <w:rsid w:val="00453528"/>
    <w:rsid w:val="0045396B"/>
    <w:rsid w:val="004542CF"/>
    <w:rsid w:val="0046292A"/>
    <w:rsid w:val="00465289"/>
    <w:rsid w:val="00465D58"/>
    <w:rsid w:val="004702F4"/>
    <w:rsid w:val="00472D4C"/>
    <w:rsid w:val="004748DA"/>
    <w:rsid w:val="00477DF5"/>
    <w:rsid w:val="0048140F"/>
    <w:rsid w:val="00481A22"/>
    <w:rsid w:val="00481F09"/>
    <w:rsid w:val="004838BE"/>
    <w:rsid w:val="00483B69"/>
    <w:rsid w:val="00484C41"/>
    <w:rsid w:val="00484C6D"/>
    <w:rsid w:val="00485106"/>
    <w:rsid w:val="004854B7"/>
    <w:rsid w:val="00487102"/>
    <w:rsid w:val="004918DB"/>
    <w:rsid w:val="004A17BE"/>
    <w:rsid w:val="004A1873"/>
    <w:rsid w:val="004A1DD3"/>
    <w:rsid w:val="004A5B86"/>
    <w:rsid w:val="004B05FE"/>
    <w:rsid w:val="004B154C"/>
    <w:rsid w:val="004B2A17"/>
    <w:rsid w:val="004B5F08"/>
    <w:rsid w:val="004B63BE"/>
    <w:rsid w:val="004B68CC"/>
    <w:rsid w:val="004B6EB8"/>
    <w:rsid w:val="004B7215"/>
    <w:rsid w:val="004B7736"/>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5A0C"/>
    <w:rsid w:val="00506D58"/>
    <w:rsid w:val="0050719F"/>
    <w:rsid w:val="00513BFB"/>
    <w:rsid w:val="00514682"/>
    <w:rsid w:val="00516436"/>
    <w:rsid w:val="0051674A"/>
    <w:rsid w:val="00516972"/>
    <w:rsid w:val="00520A87"/>
    <w:rsid w:val="00522C40"/>
    <w:rsid w:val="00522E57"/>
    <w:rsid w:val="00525909"/>
    <w:rsid w:val="00527565"/>
    <w:rsid w:val="0053039F"/>
    <w:rsid w:val="005331F4"/>
    <w:rsid w:val="005413C9"/>
    <w:rsid w:val="005419AE"/>
    <w:rsid w:val="005447B8"/>
    <w:rsid w:val="00547E8F"/>
    <w:rsid w:val="00550C0D"/>
    <w:rsid w:val="00551F90"/>
    <w:rsid w:val="005521DA"/>
    <w:rsid w:val="0055624E"/>
    <w:rsid w:val="00562BC0"/>
    <w:rsid w:val="00562CB8"/>
    <w:rsid w:val="005657E2"/>
    <w:rsid w:val="00566319"/>
    <w:rsid w:val="005663B3"/>
    <w:rsid w:val="005705AA"/>
    <w:rsid w:val="00571EFA"/>
    <w:rsid w:val="00572631"/>
    <w:rsid w:val="005748CF"/>
    <w:rsid w:val="0057506C"/>
    <w:rsid w:val="0057649A"/>
    <w:rsid w:val="005812E0"/>
    <w:rsid w:val="00581D23"/>
    <w:rsid w:val="00585E29"/>
    <w:rsid w:val="005877CD"/>
    <w:rsid w:val="00590273"/>
    <w:rsid w:val="00590766"/>
    <w:rsid w:val="00591036"/>
    <w:rsid w:val="0059107F"/>
    <w:rsid w:val="00594632"/>
    <w:rsid w:val="00596CFF"/>
    <w:rsid w:val="005A5061"/>
    <w:rsid w:val="005B1039"/>
    <w:rsid w:val="005B1C52"/>
    <w:rsid w:val="005B432C"/>
    <w:rsid w:val="005B5709"/>
    <w:rsid w:val="005B6AE8"/>
    <w:rsid w:val="005C1B33"/>
    <w:rsid w:val="005C2A11"/>
    <w:rsid w:val="005C5091"/>
    <w:rsid w:val="005D49F9"/>
    <w:rsid w:val="005D5071"/>
    <w:rsid w:val="005E217B"/>
    <w:rsid w:val="005E23FF"/>
    <w:rsid w:val="005E30A2"/>
    <w:rsid w:val="005E7DCF"/>
    <w:rsid w:val="005F1423"/>
    <w:rsid w:val="005F2C1A"/>
    <w:rsid w:val="005F39EF"/>
    <w:rsid w:val="005F591F"/>
    <w:rsid w:val="00600B9A"/>
    <w:rsid w:val="00604CAD"/>
    <w:rsid w:val="00606708"/>
    <w:rsid w:val="00606A41"/>
    <w:rsid w:val="0060715F"/>
    <w:rsid w:val="00610679"/>
    <w:rsid w:val="00611773"/>
    <w:rsid w:val="006131C8"/>
    <w:rsid w:val="00614A87"/>
    <w:rsid w:val="00616AD7"/>
    <w:rsid w:val="00621309"/>
    <w:rsid w:val="006233A2"/>
    <w:rsid w:val="00623C48"/>
    <w:rsid w:val="00626479"/>
    <w:rsid w:val="00632D58"/>
    <w:rsid w:val="006353D2"/>
    <w:rsid w:val="00637E2F"/>
    <w:rsid w:val="006438B3"/>
    <w:rsid w:val="0064622C"/>
    <w:rsid w:val="00650CA2"/>
    <w:rsid w:val="0065164B"/>
    <w:rsid w:val="00666221"/>
    <w:rsid w:val="0066645F"/>
    <w:rsid w:val="0066705D"/>
    <w:rsid w:val="00673DA0"/>
    <w:rsid w:val="00674250"/>
    <w:rsid w:val="00690CA5"/>
    <w:rsid w:val="006912E2"/>
    <w:rsid w:val="00696834"/>
    <w:rsid w:val="006A20B5"/>
    <w:rsid w:val="006A2126"/>
    <w:rsid w:val="006B4009"/>
    <w:rsid w:val="006B4997"/>
    <w:rsid w:val="006B78D4"/>
    <w:rsid w:val="006C1BF0"/>
    <w:rsid w:val="006C2205"/>
    <w:rsid w:val="006C4716"/>
    <w:rsid w:val="006C65A2"/>
    <w:rsid w:val="006C6886"/>
    <w:rsid w:val="006D08FA"/>
    <w:rsid w:val="006D7E2C"/>
    <w:rsid w:val="006E1898"/>
    <w:rsid w:val="006E54A3"/>
    <w:rsid w:val="006E5D5B"/>
    <w:rsid w:val="006F045C"/>
    <w:rsid w:val="006F16BD"/>
    <w:rsid w:val="006F262A"/>
    <w:rsid w:val="006F485D"/>
    <w:rsid w:val="006F74FE"/>
    <w:rsid w:val="00700C4E"/>
    <w:rsid w:val="0071063D"/>
    <w:rsid w:val="0071079C"/>
    <w:rsid w:val="007135EF"/>
    <w:rsid w:val="00717423"/>
    <w:rsid w:val="00717CEA"/>
    <w:rsid w:val="00721CD7"/>
    <w:rsid w:val="00723682"/>
    <w:rsid w:val="0073088F"/>
    <w:rsid w:val="00735D4F"/>
    <w:rsid w:val="007363E2"/>
    <w:rsid w:val="00745EEC"/>
    <w:rsid w:val="00747173"/>
    <w:rsid w:val="00750FA1"/>
    <w:rsid w:val="0075128B"/>
    <w:rsid w:val="007520F2"/>
    <w:rsid w:val="00755AE3"/>
    <w:rsid w:val="007604FF"/>
    <w:rsid w:val="00762417"/>
    <w:rsid w:val="007640EB"/>
    <w:rsid w:val="00771592"/>
    <w:rsid w:val="00771ABC"/>
    <w:rsid w:val="00775366"/>
    <w:rsid w:val="00775C60"/>
    <w:rsid w:val="00777264"/>
    <w:rsid w:val="00777421"/>
    <w:rsid w:val="00780FA6"/>
    <w:rsid w:val="00782A0D"/>
    <w:rsid w:val="007856F0"/>
    <w:rsid w:val="00785C86"/>
    <w:rsid w:val="00786C5A"/>
    <w:rsid w:val="007879C4"/>
    <w:rsid w:val="0079411D"/>
    <w:rsid w:val="0079416A"/>
    <w:rsid w:val="007955FA"/>
    <w:rsid w:val="007A067D"/>
    <w:rsid w:val="007A184C"/>
    <w:rsid w:val="007A2255"/>
    <w:rsid w:val="007A285D"/>
    <w:rsid w:val="007A4261"/>
    <w:rsid w:val="007B4773"/>
    <w:rsid w:val="007B5FA1"/>
    <w:rsid w:val="007B6694"/>
    <w:rsid w:val="007B6F93"/>
    <w:rsid w:val="007C1884"/>
    <w:rsid w:val="007C2EA3"/>
    <w:rsid w:val="007C6E5F"/>
    <w:rsid w:val="007C7678"/>
    <w:rsid w:val="007C7E53"/>
    <w:rsid w:val="007D0935"/>
    <w:rsid w:val="007D0AF5"/>
    <w:rsid w:val="007D14EB"/>
    <w:rsid w:val="007D1684"/>
    <w:rsid w:val="007D659F"/>
    <w:rsid w:val="007D66FA"/>
    <w:rsid w:val="007E05C4"/>
    <w:rsid w:val="007E1E1F"/>
    <w:rsid w:val="007F1F21"/>
    <w:rsid w:val="00805707"/>
    <w:rsid w:val="00806CCD"/>
    <w:rsid w:val="00807642"/>
    <w:rsid w:val="00807E36"/>
    <w:rsid w:val="00810204"/>
    <w:rsid w:val="0081079B"/>
    <w:rsid w:val="008120EB"/>
    <w:rsid w:val="008121B5"/>
    <w:rsid w:val="008139AD"/>
    <w:rsid w:val="00813FCB"/>
    <w:rsid w:val="00817AFD"/>
    <w:rsid w:val="0082398E"/>
    <w:rsid w:val="0082603C"/>
    <w:rsid w:val="00831E42"/>
    <w:rsid w:val="00835F91"/>
    <w:rsid w:val="00836B10"/>
    <w:rsid w:val="00837770"/>
    <w:rsid w:val="00837D0D"/>
    <w:rsid w:val="00853C3A"/>
    <w:rsid w:val="008569F7"/>
    <w:rsid w:val="00856D69"/>
    <w:rsid w:val="008573B3"/>
    <w:rsid w:val="008622C1"/>
    <w:rsid w:val="00862EA8"/>
    <w:rsid w:val="00865A22"/>
    <w:rsid w:val="00867377"/>
    <w:rsid w:val="00867702"/>
    <w:rsid w:val="00872074"/>
    <w:rsid w:val="008744A0"/>
    <w:rsid w:val="00874C7F"/>
    <w:rsid w:val="008756CE"/>
    <w:rsid w:val="0088102E"/>
    <w:rsid w:val="00882D8F"/>
    <w:rsid w:val="00886AE6"/>
    <w:rsid w:val="00891E1C"/>
    <w:rsid w:val="0089487B"/>
    <w:rsid w:val="008969AC"/>
    <w:rsid w:val="00897D79"/>
    <w:rsid w:val="008A0F2B"/>
    <w:rsid w:val="008A380A"/>
    <w:rsid w:val="008A5FDF"/>
    <w:rsid w:val="008B2F60"/>
    <w:rsid w:val="008C00E2"/>
    <w:rsid w:val="008C0201"/>
    <w:rsid w:val="008C1C8D"/>
    <w:rsid w:val="008C1E04"/>
    <w:rsid w:val="008C59A7"/>
    <w:rsid w:val="008D1E98"/>
    <w:rsid w:val="008D766E"/>
    <w:rsid w:val="008D7D21"/>
    <w:rsid w:val="008E444D"/>
    <w:rsid w:val="008E4621"/>
    <w:rsid w:val="008E47BB"/>
    <w:rsid w:val="008E5504"/>
    <w:rsid w:val="008E675A"/>
    <w:rsid w:val="008F0342"/>
    <w:rsid w:val="008F03FC"/>
    <w:rsid w:val="008F083A"/>
    <w:rsid w:val="008F2434"/>
    <w:rsid w:val="008F564B"/>
    <w:rsid w:val="008F6EC3"/>
    <w:rsid w:val="008F7540"/>
    <w:rsid w:val="00902558"/>
    <w:rsid w:val="009036C8"/>
    <w:rsid w:val="0090392D"/>
    <w:rsid w:val="00905A8C"/>
    <w:rsid w:val="0090604F"/>
    <w:rsid w:val="0090689C"/>
    <w:rsid w:val="009070AF"/>
    <w:rsid w:val="00911145"/>
    <w:rsid w:val="00913E33"/>
    <w:rsid w:val="0092120F"/>
    <w:rsid w:val="009248D3"/>
    <w:rsid w:val="00926F93"/>
    <w:rsid w:val="0092755B"/>
    <w:rsid w:val="00927D8D"/>
    <w:rsid w:val="0093258A"/>
    <w:rsid w:val="009344E9"/>
    <w:rsid w:val="009349C0"/>
    <w:rsid w:val="00944B5F"/>
    <w:rsid w:val="0094694C"/>
    <w:rsid w:val="00947E81"/>
    <w:rsid w:val="009509AD"/>
    <w:rsid w:val="00951177"/>
    <w:rsid w:val="00964AF7"/>
    <w:rsid w:val="00966388"/>
    <w:rsid w:val="0097112C"/>
    <w:rsid w:val="00972F1F"/>
    <w:rsid w:val="00984BCA"/>
    <w:rsid w:val="00985BD9"/>
    <w:rsid w:val="00990892"/>
    <w:rsid w:val="009913DC"/>
    <w:rsid w:val="00992926"/>
    <w:rsid w:val="009935F3"/>
    <w:rsid w:val="00997BB7"/>
    <w:rsid w:val="009A2494"/>
    <w:rsid w:val="009B18EF"/>
    <w:rsid w:val="009B2DC8"/>
    <w:rsid w:val="009B3F1F"/>
    <w:rsid w:val="009B4F8D"/>
    <w:rsid w:val="009B6E4D"/>
    <w:rsid w:val="009C0753"/>
    <w:rsid w:val="009C08F2"/>
    <w:rsid w:val="009C15A3"/>
    <w:rsid w:val="009C25E9"/>
    <w:rsid w:val="009C2C9B"/>
    <w:rsid w:val="009C6477"/>
    <w:rsid w:val="009C7CC2"/>
    <w:rsid w:val="009D1E6B"/>
    <w:rsid w:val="009D4F17"/>
    <w:rsid w:val="009D6C01"/>
    <w:rsid w:val="009D6C60"/>
    <w:rsid w:val="009D7DCD"/>
    <w:rsid w:val="009E1723"/>
    <w:rsid w:val="00A032AD"/>
    <w:rsid w:val="00A06A78"/>
    <w:rsid w:val="00A07B62"/>
    <w:rsid w:val="00A10D95"/>
    <w:rsid w:val="00A14AC4"/>
    <w:rsid w:val="00A24C83"/>
    <w:rsid w:val="00A25D97"/>
    <w:rsid w:val="00A264F6"/>
    <w:rsid w:val="00A27876"/>
    <w:rsid w:val="00A302C1"/>
    <w:rsid w:val="00A30A7F"/>
    <w:rsid w:val="00A4276B"/>
    <w:rsid w:val="00A46D43"/>
    <w:rsid w:val="00A51A68"/>
    <w:rsid w:val="00A528E8"/>
    <w:rsid w:val="00A530FA"/>
    <w:rsid w:val="00A5341D"/>
    <w:rsid w:val="00A53A43"/>
    <w:rsid w:val="00A561FF"/>
    <w:rsid w:val="00A57AE4"/>
    <w:rsid w:val="00A66163"/>
    <w:rsid w:val="00A67B9E"/>
    <w:rsid w:val="00A739BE"/>
    <w:rsid w:val="00A762C9"/>
    <w:rsid w:val="00A773AD"/>
    <w:rsid w:val="00A779CE"/>
    <w:rsid w:val="00A8257A"/>
    <w:rsid w:val="00A83E7D"/>
    <w:rsid w:val="00A94323"/>
    <w:rsid w:val="00A94BA7"/>
    <w:rsid w:val="00A96689"/>
    <w:rsid w:val="00A968B8"/>
    <w:rsid w:val="00A973D4"/>
    <w:rsid w:val="00AA7732"/>
    <w:rsid w:val="00AB0638"/>
    <w:rsid w:val="00AB0C9A"/>
    <w:rsid w:val="00AB1202"/>
    <w:rsid w:val="00AB1658"/>
    <w:rsid w:val="00AB5E02"/>
    <w:rsid w:val="00AB6038"/>
    <w:rsid w:val="00AC0F84"/>
    <w:rsid w:val="00AC1B07"/>
    <w:rsid w:val="00AC3C96"/>
    <w:rsid w:val="00AC3D84"/>
    <w:rsid w:val="00AC6DFE"/>
    <w:rsid w:val="00AD00F9"/>
    <w:rsid w:val="00AD0656"/>
    <w:rsid w:val="00AD2D41"/>
    <w:rsid w:val="00AD445C"/>
    <w:rsid w:val="00AE2FE6"/>
    <w:rsid w:val="00AE31B3"/>
    <w:rsid w:val="00AE32B8"/>
    <w:rsid w:val="00AE53B8"/>
    <w:rsid w:val="00AE5D47"/>
    <w:rsid w:val="00AE7291"/>
    <w:rsid w:val="00AE7517"/>
    <w:rsid w:val="00AF0D77"/>
    <w:rsid w:val="00AF6BDA"/>
    <w:rsid w:val="00B01866"/>
    <w:rsid w:val="00B05992"/>
    <w:rsid w:val="00B05BF1"/>
    <w:rsid w:val="00B1498D"/>
    <w:rsid w:val="00B16781"/>
    <w:rsid w:val="00B16867"/>
    <w:rsid w:val="00B17331"/>
    <w:rsid w:val="00B2249E"/>
    <w:rsid w:val="00B230F8"/>
    <w:rsid w:val="00B25A20"/>
    <w:rsid w:val="00B26069"/>
    <w:rsid w:val="00B26E6B"/>
    <w:rsid w:val="00B30DD1"/>
    <w:rsid w:val="00B31AF9"/>
    <w:rsid w:val="00B379EE"/>
    <w:rsid w:val="00B42C8F"/>
    <w:rsid w:val="00B4503F"/>
    <w:rsid w:val="00B45C29"/>
    <w:rsid w:val="00B45E93"/>
    <w:rsid w:val="00B47318"/>
    <w:rsid w:val="00B51425"/>
    <w:rsid w:val="00B539DB"/>
    <w:rsid w:val="00B60544"/>
    <w:rsid w:val="00B6236E"/>
    <w:rsid w:val="00B6641A"/>
    <w:rsid w:val="00B74852"/>
    <w:rsid w:val="00B77AD6"/>
    <w:rsid w:val="00B8027D"/>
    <w:rsid w:val="00B8311E"/>
    <w:rsid w:val="00B842AD"/>
    <w:rsid w:val="00B84675"/>
    <w:rsid w:val="00B87711"/>
    <w:rsid w:val="00B87FBF"/>
    <w:rsid w:val="00B912EF"/>
    <w:rsid w:val="00B92016"/>
    <w:rsid w:val="00B92449"/>
    <w:rsid w:val="00B94516"/>
    <w:rsid w:val="00B97B2B"/>
    <w:rsid w:val="00B97C66"/>
    <w:rsid w:val="00BA0EF2"/>
    <w:rsid w:val="00BA1D07"/>
    <w:rsid w:val="00BA3C17"/>
    <w:rsid w:val="00BA699D"/>
    <w:rsid w:val="00BA78FC"/>
    <w:rsid w:val="00BB231D"/>
    <w:rsid w:val="00BB35F0"/>
    <w:rsid w:val="00BB453D"/>
    <w:rsid w:val="00BC0B79"/>
    <w:rsid w:val="00BC2E6F"/>
    <w:rsid w:val="00BC424A"/>
    <w:rsid w:val="00BC698C"/>
    <w:rsid w:val="00BD2831"/>
    <w:rsid w:val="00BD2CEC"/>
    <w:rsid w:val="00BD4B45"/>
    <w:rsid w:val="00BE1579"/>
    <w:rsid w:val="00BE489F"/>
    <w:rsid w:val="00BF0D98"/>
    <w:rsid w:val="00BF16C8"/>
    <w:rsid w:val="00BF2F83"/>
    <w:rsid w:val="00BF2FCE"/>
    <w:rsid w:val="00BF6443"/>
    <w:rsid w:val="00BF69C6"/>
    <w:rsid w:val="00BF7C9E"/>
    <w:rsid w:val="00C03813"/>
    <w:rsid w:val="00C050EE"/>
    <w:rsid w:val="00C06D9D"/>
    <w:rsid w:val="00C10D54"/>
    <w:rsid w:val="00C13D94"/>
    <w:rsid w:val="00C20304"/>
    <w:rsid w:val="00C315AD"/>
    <w:rsid w:val="00C345C3"/>
    <w:rsid w:val="00C402DD"/>
    <w:rsid w:val="00C40CBC"/>
    <w:rsid w:val="00C41216"/>
    <w:rsid w:val="00C46F50"/>
    <w:rsid w:val="00C51D6E"/>
    <w:rsid w:val="00C53AE3"/>
    <w:rsid w:val="00C53D32"/>
    <w:rsid w:val="00C54BE0"/>
    <w:rsid w:val="00C5601E"/>
    <w:rsid w:val="00C67440"/>
    <w:rsid w:val="00C67B47"/>
    <w:rsid w:val="00C67CDE"/>
    <w:rsid w:val="00C7162E"/>
    <w:rsid w:val="00C74EB4"/>
    <w:rsid w:val="00C74FD5"/>
    <w:rsid w:val="00C75633"/>
    <w:rsid w:val="00C76125"/>
    <w:rsid w:val="00C8236A"/>
    <w:rsid w:val="00C82B11"/>
    <w:rsid w:val="00C838CE"/>
    <w:rsid w:val="00C853B4"/>
    <w:rsid w:val="00C86F58"/>
    <w:rsid w:val="00C922CC"/>
    <w:rsid w:val="00C92FEA"/>
    <w:rsid w:val="00C964B7"/>
    <w:rsid w:val="00CA09D2"/>
    <w:rsid w:val="00CA3681"/>
    <w:rsid w:val="00CA5A53"/>
    <w:rsid w:val="00CA6DA1"/>
    <w:rsid w:val="00CB27D4"/>
    <w:rsid w:val="00CB3782"/>
    <w:rsid w:val="00CC3B07"/>
    <w:rsid w:val="00CC3C86"/>
    <w:rsid w:val="00CC5DCA"/>
    <w:rsid w:val="00CC6DD5"/>
    <w:rsid w:val="00CD02AA"/>
    <w:rsid w:val="00CD0A02"/>
    <w:rsid w:val="00CD0D8B"/>
    <w:rsid w:val="00CD1C7C"/>
    <w:rsid w:val="00CD266A"/>
    <w:rsid w:val="00CD403C"/>
    <w:rsid w:val="00CD6482"/>
    <w:rsid w:val="00CD71F0"/>
    <w:rsid w:val="00CD7F6A"/>
    <w:rsid w:val="00CE0770"/>
    <w:rsid w:val="00CE398F"/>
    <w:rsid w:val="00CE53FD"/>
    <w:rsid w:val="00CE7C2E"/>
    <w:rsid w:val="00CF5AE1"/>
    <w:rsid w:val="00D00549"/>
    <w:rsid w:val="00D03C0B"/>
    <w:rsid w:val="00D10588"/>
    <w:rsid w:val="00D12989"/>
    <w:rsid w:val="00D134A7"/>
    <w:rsid w:val="00D14B2F"/>
    <w:rsid w:val="00D16658"/>
    <w:rsid w:val="00D2387B"/>
    <w:rsid w:val="00D24256"/>
    <w:rsid w:val="00D27607"/>
    <w:rsid w:val="00D30AFA"/>
    <w:rsid w:val="00D32205"/>
    <w:rsid w:val="00D334E5"/>
    <w:rsid w:val="00D37B25"/>
    <w:rsid w:val="00D37B93"/>
    <w:rsid w:val="00D45BD4"/>
    <w:rsid w:val="00D46331"/>
    <w:rsid w:val="00D46CAA"/>
    <w:rsid w:val="00D5599E"/>
    <w:rsid w:val="00D56B16"/>
    <w:rsid w:val="00D62F1A"/>
    <w:rsid w:val="00D64D0E"/>
    <w:rsid w:val="00D65600"/>
    <w:rsid w:val="00D73056"/>
    <w:rsid w:val="00D741EE"/>
    <w:rsid w:val="00D76ABF"/>
    <w:rsid w:val="00D809F1"/>
    <w:rsid w:val="00D84BD3"/>
    <w:rsid w:val="00D8632A"/>
    <w:rsid w:val="00D865AF"/>
    <w:rsid w:val="00D87980"/>
    <w:rsid w:val="00D87DAC"/>
    <w:rsid w:val="00D9060E"/>
    <w:rsid w:val="00D9525A"/>
    <w:rsid w:val="00DA1548"/>
    <w:rsid w:val="00DA3160"/>
    <w:rsid w:val="00DA3BAA"/>
    <w:rsid w:val="00DA5CF1"/>
    <w:rsid w:val="00DA7772"/>
    <w:rsid w:val="00DA7BAA"/>
    <w:rsid w:val="00DA7F08"/>
    <w:rsid w:val="00DB0746"/>
    <w:rsid w:val="00DB26DD"/>
    <w:rsid w:val="00DB2E2B"/>
    <w:rsid w:val="00DC022E"/>
    <w:rsid w:val="00DC75FA"/>
    <w:rsid w:val="00DD34B3"/>
    <w:rsid w:val="00DD5586"/>
    <w:rsid w:val="00DE177C"/>
    <w:rsid w:val="00DE251F"/>
    <w:rsid w:val="00DE3A76"/>
    <w:rsid w:val="00DF0071"/>
    <w:rsid w:val="00DF0D63"/>
    <w:rsid w:val="00DF10E7"/>
    <w:rsid w:val="00DF1F4D"/>
    <w:rsid w:val="00DF258F"/>
    <w:rsid w:val="00DF36F7"/>
    <w:rsid w:val="00E0050B"/>
    <w:rsid w:val="00E018B2"/>
    <w:rsid w:val="00E02D1D"/>
    <w:rsid w:val="00E07B6F"/>
    <w:rsid w:val="00E12D70"/>
    <w:rsid w:val="00E15F20"/>
    <w:rsid w:val="00E15F5C"/>
    <w:rsid w:val="00E25145"/>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1A1F"/>
    <w:rsid w:val="00E823F7"/>
    <w:rsid w:val="00E835B1"/>
    <w:rsid w:val="00E84E68"/>
    <w:rsid w:val="00E86FDF"/>
    <w:rsid w:val="00E8765D"/>
    <w:rsid w:val="00E877EB"/>
    <w:rsid w:val="00E90D66"/>
    <w:rsid w:val="00E90EE4"/>
    <w:rsid w:val="00E9663B"/>
    <w:rsid w:val="00E97E5D"/>
    <w:rsid w:val="00E97FA1"/>
    <w:rsid w:val="00EA0BAA"/>
    <w:rsid w:val="00EA1CF8"/>
    <w:rsid w:val="00EA1EF4"/>
    <w:rsid w:val="00EA50F6"/>
    <w:rsid w:val="00EA56B3"/>
    <w:rsid w:val="00EA7C5A"/>
    <w:rsid w:val="00EB09FE"/>
    <w:rsid w:val="00EB3EBC"/>
    <w:rsid w:val="00EB41D3"/>
    <w:rsid w:val="00EC5F33"/>
    <w:rsid w:val="00ED5D19"/>
    <w:rsid w:val="00ED649B"/>
    <w:rsid w:val="00EE15BD"/>
    <w:rsid w:val="00EE21B6"/>
    <w:rsid w:val="00EF0A91"/>
    <w:rsid w:val="00EF554B"/>
    <w:rsid w:val="00F002E6"/>
    <w:rsid w:val="00F009A2"/>
    <w:rsid w:val="00F02FEC"/>
    <w:rsid w:val="00F058B8"/>
    <w:rsid w:val="00F07F2A"/>
    <w:rsid w:val="00F10090"/>
    <w:rsid w:val="00F117EA"/>
    <w:rsid w:val="00F11AA1"/>
    <w:rsid w:val="00F17CEA"/>
    <w:rsid w:val="00F22ADF"/>
    <w:rsid w:val="00F25B3E"/>
    <w:rsid w:val="00F26432"/>
    <w:rsid w:val="00F26ABE"/>
    <w:rsid w:val="00F30FE9"/>
    <w:rsid w:val="00F31276"/>
    <w:rsid w:val="00F32AA2"/>
    <w:rsid w:val="00F35373"/>
    <w:rsid w:val="00F3663A"/>
    <w:rsid w:val="00F3741D"/>
    <w:rsid w:val="00F40B40"/>
    <w:rsid w:val="00F424F2"/>
    <w:rsid w:val="00F42A3C"/>
    <w:rsid w:val="00F435E4"/>
    <w:rsid w:val="00F43AB6"/>
    <w:rsid w:val="00F43BA5"/>
    <w:rsid w:val="00F44686"/>
    <w:rsid w:val="00F47E60"/>
    <w:rsid w:val="00F510C2"/>
    <w:rsid w:val="00F533B2"/>
    <w:rsid w:val="00F535CB"/>
    <w:rsid w:val="00F53CDB"/>
    <w:rsid w:val="00F55783"/>
    <w:rsid w:val="00F572E8"/>
    <w:rsid w:val="00F61CF2"/>
    <w:rsid w:val="00F636C4"/>
    <w:rsid w:val="00F65A0B"/>
    <w:rsid w:val="00F67ECB"/>
    <w:rsid w:val="00F70AE0"/>
    <w:rsid w:val="00F716A6"/>
    <w:rsid w:val="00F74672"/>
    <w:rsid w:val="00F75C84"/>
    <w:rsid w:val="00F75E41"/>
    <w:rsid w:val="00F8395C"/>
    <w:rsid w:val="00F8410D"/>
    <w:rsid w:val="00F90005"/>
    <w:rsid w:val="00F90C01"/>
    <w:rsid w:val="00F91901"/>
    <w:rsid w:val="00F928E9"/>
    <w:rsid w:val="00F937C2"/>
    <w:rsid w:val="00F95A25"/>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D4F2B"/>
    <w:rsid w:val="00FE1046"/>
    <w:rsid w:val="00FE272F"/>
    <w:rsid w:val="00FE4E40"/>
    <w:rsid w:val="00FE5E2D"/>
    <w:rsid w:val="00FF01D6"/>
    <w:rsid w:val="00FF2DBF"/>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6FF08A-ED33-4F7D-9E8C-F24015BE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iPriority w:val="99"/>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 w:type="paragraph" w:customStyle="1" w:styleId="AHPRASubheadinglevel2">
    <w:name w:val="AHPRA Subheading level 2"/>
    <w:basedOn w:val="Normal"/>
    <w:qFormat/>
    <w:rsid w:val="00246848"/>
    <w:pPr>
      <w:spacing w:before="200" w:after="200"/>
    </w:pPr>
    <w:rPr>
      <w:rFonts w:ascii="Arial" w:eastAsiaTheme="minorHAnsi" w:hAnsi="Arial" w:cs="Arial"/>
      <w:b/>
      <w:bCs/>
      <w:sz w:val="20"/>
      <w:szCs w:val="20"/>
      <w:lang w:eastAsia="en-US"/>
    </w:rPr>
  </w:style>
  <w:style w:type="paragraph" w:styleId="EndnoteText">
    <w:name w:val="endnote text"/>
    <w:basedOn w:val="Normal"/>
    <w:link w:val="EndnoteTextChar"/>
    <w:semiHidden/>
    <w:unhideWhenUsed/>
    <w:rsid w:val="00B05BF1"/>
    <w:rPr>
      <w:sz w:val="20"/>
      <w:szCs w:val="20"/>
    </w:rPr>
  </w:style>
  <w:style w:type="character" w:customStyle="1" w:styleId="EndnoteTextChar">
    <w:name w:val="Endnote Text Char"/>
    <w:basedOn w:val="DefaultParagraphFont"/>
    <w:link w:val="EndnoteText"/>
    <w:semiHidden/>
    <w:rsid w:val="00B05BF1"/>
  </w:style>
  <w:style w:type="character" w:styleId="EndnoteReference">
    <w:name w:val="endnote reference"/>
    <w:basedOn w:val="DefaultParagraphFont"/>
    <w:semiHidden/>
    <w:unhideWhenUsed/>
    <w:rsid w:val="00B05BF1"/>
    <w:rPr>
      <w:vertAlign w:val="superscript"/>
    </w:rPr>
  </w:style>
  <w:style w:type="paragraph" w:customStyle="1" w:styleId="AHPRABody1">
    <w:name w:val="AHPRA Body"/>
    <w:basedOn w:val="Normal"/>
    <w:rsid w:val="00095482"/>
    <w:rPr>
      <w:rFonts w:ascii="Arial" w:eastAsiaTheme="minorHAnsi" w:hAnsi="Arial" w:cs="Arial"/>
      <w:sz w:val="20"/>
      <w:szCs w:val="20"/>
    </w:rPr>
  </w:style>
  <w:style w:type="numbering" w:customStyle="1" w:styleId="AHPRABullets">
    <w:name w:val="AHPRABullets"/>
    <w:uiPriority w:val="99"/>
    <w:rsid w:val="00DF36F7"/>
    <w:pPr>
      <w:numPr>
        <w:numId w:val="32"/>
      </w:numPr>
    </w:pPr>
  </w:style>
  <w:style w:type="paragraph" w:customStyle="1" w:styleId="Bulletlevel1">
    <w:name w:val="Bullet level 1"/>
    <w:qFormat/>
    <w:rsid w:val="00E81A1F"/>
    <w:pPr>
      <w:numPr>
        <w:numId w:val="32"/>
      </w:numPr>
    </w:pPr>
    <w:rPr>
      <w:rFonts w:ascii="Arial" w:eastAsia="Cambria" w:hAnsi="Arial"/>
      <w:szCs w:val="24"/>
      <w:lang w:val="en-US" w:eastAsia="en-US"/>
    </w:rPr>
  </w:style>
  <w:style w:type="paragraph" w:customStyle="1" w:styleId="Bulletlevel2">
    <w:name w:val="Bullet level 2"/>
    <w:basedOn w:val="Bulletlevel1"/>
    <w:rsid w:val="00E81A1F"/>
    <w:pPr>
      <w:numPr>
        <w:ilvl w:val="1"/>
      </w:numPr>
    </w:pPr>
  </w:style>
  <w:style w:type="paragraph" w:customStyle="1" w:styleId="Bulletlevel3">
    <w:name w:val="Bullet level 3"/>
    <w:rsid w:val="00E81A1F"/>
    <w:pPr>
      <w:numPr>
        <w:ilvl w:val="2"/>
        <w:numId w:val="32"/>
      </w:numPr>
    </w:pPr>
    <w:rPr>
      <w:rFonts w:ascii="Arial" w:eastAsia="Cambria" w:hAnsi="Arial"/>
      <w:szCs w:val="24"/>
      <w:lang w:val="en-US" w:eastAsia="en-US"/>
    </w:rPr>
  </w:style>
  <w:style w:type="character" w:styleId="IntenseEmphasis">
    <w:name w:val="Intense Emphasis"/>
    <w:basedOn w:val="DefaultParagraphFont"/>
    <w:uiPriority w:val="21"/>
    <w:qFormat/>
    <w:rsid w:val="00485106"/>
    <w:rPr>
      <w:b/>
      <w:bCs/>
      <w:i/>
      <w:iCs/>
      <w:color w:val="4F81BD" w:themeColor="accent1"/>
    </w:rPr>
  </w:style>
  <w:style w:type="paragraph" w:customStyle="1" w:styleId="AHPRAitemlevel2">
    <w:name w:val="AHPRA item level 2"/>
    <w:basedOn w:val="AHPRASubheading"/>
    <w:rsid w:val="001F3193"/>
    <w:pPr>
      <w:tabs>
        <w:tab w:val="num" w:pos="1844"/>
      </w:tabs>
      <w:ind w:left="1844" w:hanging="1134"/>
    </w:pPr>
    <w:rPr>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20">
      <w:bodyDiv w:val="1"/>
      <w:marLeft w:val="0"/>
      <w:marRight w:val="0"/>
      <w:marTop w:val="0"/>
      <w:marBottom w:val="0"/>
      <w:divBdr>
        <w:top w:val="none" w:sz="0" w:space="0" w:color="auto"/>
        <w:left w:val="none" w:sz="0" w:space="0" w:color="auto"/>
        <w:bottom w:val="none" w:sz="0" w:space="0" w:color="auto"/>
        <w:right w:val="none" w:sz="0" w:space="0" w:color="auto"/>
      </w:divBdr>
      <w:divsChild>
        <w:div w:id="1334188591">
          <w:marLeft w:val="0"/>
          <w:marRight w:val="0"/>
          <w:marTop w:val="0"/>
          <w:marBottom w:val="0"/>
          <w:divBdr>
            <w:top w:val="none" w:sz="0" w:space="0" w:color="auto"/>
            <w:left w:val="none" w:sz="0" w:space="0" w:color="auto"/>
            <w:bottom w:val="none" w:sz="0" w:space="0" w:color="auto"/>
            <w:right w:val="none" w:sz="0" w:space="0" w:color="auto"/>
          </w:divBdr>
          <w:divsChild>
            <w:div w:id="1520778937">
              <w:marLeft w:val="0"/>
              <w:marRight w:val="0"/>
              <w:marTop w:val="0"/>
              <w:marBottom w:val="0"/>
              <w:divBdr>
                <w:top w:val="none" w:sz="0" w:space="0" w:color="auto"/>
                <w:left w:val="none" w:sz="0" w:space="0" w:color="auto"/>
                <w:bottom w:val="none" w:sz="0" w:space="0" w:color="auto"/>
                <w:right w:val="none" w:sz="0" w:space="0" w:color="auto"/>
              </w:divBdr>
              <w:divsChild>
                <w:div w:id="585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1403">
      <w:bodyDiv w:val="1"/>
      <w:marLeft w:val="0"/>
      <w:marRight w:val="0"/>
      <w:marTop w:val="0"/>
      <w:marBottom w:val="0"/>
      <w:divBdr>
        <w:top w:val="none" w:sz="0" w:space="0" w:color="auto"/>
        <w:left w:val="none" w:sz="0" w:space="0" w:color="auto"/>
        <w:bottom w:val="none" w:sz="0" w:space="0" w:color="auto"/>
        <w:right w:val="none" w:sz="0" w:space="0" w:color="auto"/>
      </w:divBdr>
    </w:div>
    <w:div w:id="54283514">
      <w:bodyDiv w:val="1"/>
      <w:marLeft w:val="0"/>
      <w:marRight w:val="0"/>
      <w:marTop w:val="0"/>
      <w:marBottom w:val="0"/>
      <w:divBdr>
        <w:top w:val="none" w:sz="0" w:space="0" w:color="auto"/>
        <w:left w:val="none" w:sz="0" w:space="0" w:color="auto"/>
        <w:bottom w:val="none" w:sz="0" w:space="0" w:color="auto"/>
        <w:right w:val="none" w:sz="0" w:space="0" w:color="auto"/>
      </w:divBdr>
      <w:divsChild>
        <w:div w:id="782580710">
          <w:marLeft w:val="0"/>
          <w:marRight w:val="0"/>
          <w:marTop w:val="0"/>
          <w:marBottom w:val="0"/>
          <w:divBdr>
            <w:top w:val="none" w:sz="0" w:space="0" w:color="auto"/>
            <w:left w:val="none" w:sz="0" w:space="0" w:color="auto"/>
            <w:bottom w:val="none" w:sz="0" w:space="0" w:color="auto"/>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52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902">
      <w:bodyDiv w:val="1"/>
      <w:marLeft w:val="0"/>
      <w:marRight w:val="0"/>
      <w:marTop w:val="0"/>
      <w:marBottom w:val="0"/>
      <w:divBdr>
        <w:top w:val="none" w:sz="0" w:space="0" w:color="auto"/>
        <w:left w:val="none" w:sz="0" w:space="0" w:color="auto"/>
        <w:bottom w:val="none" w:sz="0" w:space="0" w:color="auto"/>
        <w:right w:val="none" w:sz="0" w:space="0" w:color="auto"/>
      </w:divBdr>
      <w:divsChild>
        <w:div w:id="1691688659">
          <w:marLeft w:val="0"/>
          <w:marRight w:val="0"/>
          <w:marTop w:val="0"/>
          <w:marBottom w:val="0"/>
          <w:divBdr>
            <w:top w:val="none" w:sz="0" w:space="0" w:color="auto"/>
            <w:left w:val="none" w:sz="0" w:space="0" w:color="auto"/>
            <w:bottom w:val="none" w:sz="0" w:space="0" w:color="auto"/>
            <w:right w:val="none" w:sz="0" w:space="0" w:color="auto"/>
          </w:divBdr>
          <w:divsChild>
            <w:div w:id="425925950">
              <w:marLeft w:val="0"/>
              <w:marRight w:val="0"/>
              <w:marTop w:val="0"/>
              <w:marBottom w:val="0"/>
              <w:divBdr>
                <w:top w:val="none" w:sz="0" w:space="0" w:color="auto"/>
                <w:left w:val="none" w:sz="0" w:space="0" w:color="auto"/>
                <w:bottom w:val="none" w:sz="0" w:space="0" w:color="auto"/>
                <w:right w:val="none" w:sz="0" w:space="0" w:color="auto"/>
              </w:divBdr>
              <w:divsChild>
                <w:div w:id="1578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92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80">
          <w:marLeft w:val="0"/>
          <w:marRight w:val="0"/>
          <w:marTop w:val="0"/>
          <w:marBottom w:val="0"/>
          <w:divBdr>
            <w:top w:val="none" w:sz="0" w:space="0" w:color="auto"/>
            <w:left w:val="none" w:sz="0" w:space="0" w:color="auto"/>
            <w:bottom w:val="none" w:sz="0" w:space="0" w:color="auto"/>
            <w:right w:val="none" w:sz="0" w:space="0" w:color="auto"/>
          </w:divBdr>
          <w:divsChild>
            <w:div w:id="1230073378">
              <w:marLeft w:val="0"/>
              <w:marRight w:val="0"/>
              <w:marTop w:val="0"/>
              <w:marBottom w:val="0"/>
              <w:divBdr>
                <w:top w:val="none" w:sz="0" w:space="0" w:color="auto"/>
                <w:left w:val="none" w:sz="0" w:space="0" w:color="auto"/>
                <w:bottom w:val="none" w:sz="0" w:space="0" w:color="auto"/>
                <w:right w:val="none" w:sz="0" w:space="0" w:color="auto"/>
              </w:divBdr>
              <w:divsChild>
                <w:div w:id="1388603455">
                  <w:marLeft w:val="0"/>
                  <w:marRight w:val="0"/>
                  <w:marTop w:val="0"/>
                  <w:marBottom w:val="0"/>
                  <w:divBdr>
                    <w:top w:val="none" w:sz="0" w:space="0" w:color="auto"/>
                    <w:left w:val="none" w:sz="0" w:space="0" w:color="auto"/>
                    <w:bottom w:val="none" w:sz="0" w:space="0" w:color="auto"/>
                    <w:right w:val="none" w:sz="0" w:space="0" w:color="auto"/>
                  </w:divBdr>
                  <w:divsChild>
                    <w:div w:id="401951921">
                      <w:marLeft w:val="0"/>
                      <w:marRight w:val="0"/>
                      <w:marTop w:val="150"/>
                      <w:marBottom w:val="0"/>
                      <w:divBdr>
                        <w:top w:val="none" w:sz="0" w:space="0" w:color="auto"/>
                        <w:left w:val="none" w:sz="0" w:space="0" w:color="auto"/>
                        <w:bottom w:val="none" w:sz="0" w:space="0" w:color="auto"/>
                        <w:right w:val="none" w:sz="0" w:space="0" w:color="auto"/>
                      </w:divBdr>
                    </w:div>
                  </w:divsChild>
                </w:div>
                <w:div w:id="954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15531">
      <w:bodyDiv w:val="1"/>
      <w:marLeft w:val="0"/>
      <w:marRight w:val="0"/>
      <w:marTop w:val="0"/>
      <w:marBottom w:val="0"/>
      <w:divBdr>
        <w:top w:val="none" w:sz="0" w:space="0" w:color="auto"/>
        <w:left w:val="none" w:sz="0" w:space="0" w:color="auto"/>
        <w:bottom w:val="none" w:sz="0" w:space="0" w:color="auto"/>
        <w:right w:val="none" w:sz="0" w:space="0" w:color="auto"/>
      </w:divBdr>
      <w:divsChild>
        <w:div w:id="1720930430">
          <w:marLeft w:val="0"/>
          <w:marRight w:val="0"/>
          <w:marTop w:val="0"/>
          <w:marBottom w:val="0"/>
          <w:divBdr>
            <w:top w:val="none" w:sz="0" w:space="0" w:color="auto"/>
            <w:left w:val="none" w:sz="0" w:space="0" w:color="auto"/>
            <w:bottom w:val="none" w:sz="0" w:space="0" w:color="auto"/>
            <w:right w:val="none" w:sz="0" w:space="0" w:color="auto"/>
          </w:divBdr>
          <w:divsChild>
            <w:div w:id="366686304">
              <w:marLeft w:val="0"/>
              <w:marRight w:val="0"/>
              <w:marTop w:val="0"/>
              <w:marBottom w:val="0"/>
              <w:divBdr>
                <w:top w:val="none" w:sz="0" w:space="0" w:color="auto"/>
                <w:left w:val="none" w:sz="0" w:space="0" w:color="auto"/>
                <w:bottom w:val="none" w:sz="0" w:space="0" w:color="auto"/>
                <w:right w:val="none" w:sz="0" w:space="0" w:color="auto"/>
              </w:divBdr>
              <w:divsChild>
                <w:div w:id="317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631">
      <w:bodyDiv w:val="1"/>
      <w:marLeft w:val="0"/>
      <w:marRight w:val="0"/>
      <w:marTop w:val="0"/>
      <w:marBottom w:val="0"/>
      <w:divBdr>
        <w:top w:val="none" w:sz="0" w:space="0" w:color="auto"/>
        <w:left w:val="none" w:sz="0" w:space="0" w:color="auto"/>
        <w:bottom w:val="none" w:sz="0" w:space="0" w:color="auto"/>
        <w:right w:val="none" w:sz="0" w:space="0" w:color="auto"/>
      </w:divBdr>
    </w:div>
    <w:div w:id="549611751">
      <w:bodyDiv w:val="1"/>
      <w:marLeft w:val="0"/>
      <w:marRight w:val="0"/>
      <w:marTop w:val="0"/>
      <w:marBottom w:val="0"/>
      <w:divBdr>
        <w:top w:val="none" w:sz="0" w:space="0" w:color="auto"/>
        <w:left w:val="none" w:sz="0" w:space="0" w:color="auto"/>
        <w:bottom w:val="none" w:sz="0" w:space="0" w:color="auto"/>
        <w:right w:val="none" w:sz="0" w:space="0" w:color="auto"/>
      </w:divBdr>
      <w:divsChild>
        <w:div w:id="787624337">
          <w:marLeft w:val="0"/>
          <w:marRight w:val="0"/>
          <w:marTop w:val="0"/>
          <w:marBottom w:val="0"/>
          <w:divBdr>
            <w:top w:val="none" w:sz="0" w:space="0" w:color="auto"/>
            <w:left w:val="none" w:sz="0" w:space="0" w:color="auto"/>
            <w:bottom w:val="none" w:sz="0" w:space="0" w:color="auto"/>
            <w:right w:val="none" w:sz="0" w:space="0" w:color="auto"/>
          </w:divBdr>
          <w:divsChild>
            <w:div w:id="771628105">
              <w:marLeft w:val="0"/>
              <w:marRight w:val="0"/>
              <w:marTop w:val="0"/>
              <w:marBottom w:val="0"/>
              <w:divBdr>
                <w:top w:val="none" w:sz="0" w:space="0" w:color="auto"/>
                <w:left w:val="none" w:sz="0" w:space="0" w:color="auto"/>
                <w:bottom w:val="none" w:sz="0" w:space="0" w:color="auto"/>
                <w:right w:val="none" w:sz="0" w:space="0" w:color="auto"/>
              </w:divBdr>
              <w:divsChild>
                <w:div w:id="10381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049">
      <w:bodyDiv w:val="1"/>
      <w:marLeft w:val="0"/>
      <w:marRight w:val="0"/>
      <w:marTop w:val="0"/>
      <w:marBottom w:val="0"/>
      <w:divBdr>
        <w:top w:val="none" w:sz="0" w:space="0" w:color="auto"/>
        <w:left w:val="none" w:sz="0" w:space="0" w:color="auto"/>
        <w:bottom w:val="none" w:sz="0" w:space="0" w:color="auto"/>
        <w:right w:val="none" w:sz="0" w:space="0" w:color="auto"/>
      </w:divBdr>
      <w:divsChild>
        <w:div w:id="427385430">
          <w:marLeft w:val="0"/>
          <w:marRight w:val="0"/>
          <w:marTop w:val="0"/>
          <w:marBottom w:val="0"/>
          <w:divBdr>
            <w:top w:val="none" w:sz="0" w:space="0" w:color="auto"/>
            <w:left w:val="none" w:sz="0" w:space="0" w:color="auto"/>
            <w:bottom w:val="none" w:sz="0" w:space="0" w:color="auto"/>
            <w:right w:val="none" w:sz="0" w:space="0" w:color="auto"/>
          </w:divBdr>
          <w:divsChild>
            <w:div w:id="1098015088">
              <w:marLeft w:val="0"/>
              <w:marRight w:val="0"/>
              <w:marTop w:val="0"/>
              <w:marBottom w:val="0"/>
              <w:divBdr>
                <w:top w:val="none" w:sz="0" w:space="0" w:color="auto"/>
                <w:left w:val="none" w:sz="0" w:space="0" w:color="auto"/>
                <w:bottom w:val="none" w:sz="0" w:space="0" w:color="auto"/>
                <w:right w:val="none" w:sz="0" w:space="0" w:color="auto"/>
              </w:divBdr>
              <w:divsChild>
                <w:div w:id="2005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519">
      <w:bodyDiv w:val="1"/>
      <w:marLeft w:val="0"/>
      <w:marRight w:val="0"/>
      <w:marTop w:val="0"/>
      <w:marBottom w:val="0"/>
      <w:divBdr>
        <w:top w:val="none" w:sz="0" w:space="0" w:color="auto"/>
        <w:left w:val="none" w:sz="0" w:space="0" w:color="auto"/>
        <w:bottom w:val="none" w:sz="0" w:space="0" w:color="auto"/>
        <w:right w:val="none" w:sz="0" w:space="0" w:color="auto"/>
      </w:divBdr>
      <w:divsChild>
        <w:div w:id="1830825408">
          <w:marLeft w:val="0"/>
          <w:marRight w:val="0"/>
          <w:marTop w:val="0"/>
          <w:marBottom w:val="0"/>
          <w:divBdr>
            <w:top w:val="none" w:sz="0" w:space="0" w:color="auto"/>
            <w:left w:val="none" w:sz="0" w:space="0" w:color="auto"/>
            <w:bottom w:val="none" w:sz="0" w:space="0" w:color="auto"/>
            <w:right w:val="none" w:sz="0" w:space="0" w:color="auto"/>
          </w:divBdr>
          <w:divsChild>
            <w:div w:id="1597401091">
              <w:marLeft w:val="0"/>
              <w:marRight w:val="0"/>
              <w:marTop w:val="0"/>
              <w:marBottom w:val="0"/>
              <w:divBdr>
                <w:top w:val="none" w:sz="0" w:space="0" w:color="auto"/>
                <w:left w:val="none" w:sz="0" w:space="0" w:color="auto"/>
                <w:bottom w:val="none" w:sz="0" w:space="0" w:color="auto"/>
                <w:right w:val="none" w:sz="0" w:space="0" w:color="auto"/>
              </w:divBdr>
              <w:divsChild>
                <w:div w:id="788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5706967">
      <w:bodyDiv w:val="1"/>
      <w:marLeft w:val="0"/>
      <w:marRight w:val="0"/>
      <w:marTop w:val="0"/>
      <w:marBottom w:val="0"/>
      <w:divBdr>
        <w:top w:val="none" w:sz="0" w:space="0" w:color="auto"/>
        <w:left w:val="none" w:sz="0" w:space="0" w:color="auto"/>
        <w:bottom w:val="none" w:sz="0" w:space="0" w:color="auto"/>
        <w:right w:val="none" w:sz="0" w:space="0" w:color="auto"/>
      </w:divBdr>
      <w:divsChild>
        <w:div w:id="485246468">
          <w:marLeft w:val="0"/>
          <w:marRight w:val="0"/>
          <w:marTop w:val="0"/>
          <w:marBottom w:val="0"/>
          <w:divBdr>
            <w:top w:val="none" w:sz="0" w:space="0" w:color="auto"/>
            <w:left w:val="none" w:sz="0" w:space="0" w:color="auto"/>
            <w:bottom w:val="none" w:sz="0" w:space="0" w:color="auto"/>
            <w:right w:val="none" w:sz="0" w:space="0" w:color="auto"/>
          </w:divBdr>
          <w:divsChild>
            <w:div w:id="1483808941">
              <w:marLeft w:val="0"/>
              <w:marRight w:val="0"/>
              <w:marTop w:val="0"/>
              <w:marBottom w:val="0"/>
              <w:divBdr>
                <w:top w:val="none" w:sz="0" w:space="0" w:color="auto"/>
                <w:left w:val="none" w:sz="0" w:space="0" w:color="auto"/>
                <w:bottom w:val="none" w:sz="0" w:space="0" w:color="auto"/>
                <w:right w:val="none" w:sz="0" w:space="0" w:color="auto"/>
              </w:divBdr>
              <w:divsChild>
                <w:div w:id="18494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450338">
      <w:bodyDiv w:val="1"/>
      <w:marLeft w:val="0"/>
      <w:marRight w:val="0"/>
      <w:marTop w:val="0"/>
      <w:marBottom w:val="0"/>
      <w:divBdr>
        <w:top w:val="none" w:sz="0" w:space="0" w:color="auto"/>
        <w:left w:val="none" w:sz="0" w:space="0" w:color="auto"/>
        <w:bottom w:val="none" w:sz="0" w:space="0" w:color="auto"/>
        <w:right w:val="none" w:sz="0" w:space="0" w:color="auto"/>
      </w:divBdr>
      <w:divsChild>
        <w:div w:id="1565530092">
          <w:marLeft w:val="0"/>
          <w:marRight w:val="0"/>
          <w:marTop w:val="0"/>
          <w:marBottom w:val="0"/>
          <w:divBdr>
            <w:top w:val="none" w:sz="0" w:space="0" w:color="auto"/>
            <w:left w:val="none" w:sz="0" w:space="0" w:color="auto"/>
            <w:bottom w:val="none" w:sz="0" w:space="0" w:color="auto"/>
            <w:right w:val="none" w:sz="0" w:space="0" w:color="auto"/>
          </w:divBdr>
          <w:divsChild>
            <w:div w:id="1701933173">
              <w:marLeft w:val="0"/>
              <w:marRight w:val="0"/>
              <w:marTop w:val="0"/>
              <w:marBottom w:val="0"/>
              <w:divBdr>
                <w:top w:val="none" w:sz="0" w:space="0" w:color="auto"/>
                <w:left w:val="none" w:sz="0" w:space="0" w:color="auto"/>
                <w:bottom w:val="none" w:sz="0" w:space="0" w:color="auto"/>
                <w:right w:val="none" w:sz="0" w:space="0" w:color="auto"/>
              </w:divBdr>
              <w:divsChild>
                <w:div w:id="1861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26759609">
      <w:bodyDiv w:val="1"/>
      <w:marLeft w:val="0"/>
      <w:marRight w:val="0"/>
      <w:marTop w:val="0"/>
      <w:marBottom w:val="0"/>
      <w:divBdr>
        <w:top w:val="none" w:sz="0" w:space="0" w:color="auto"/>
        <w:left w:val="none" w:sz="0" w:space="0" w:color="auto"/>
        <w:bottom w:val="none" w:sz="0" w:space="0" w:color="auto"/>
        <w:right w:val="none" w:sz="0" w:space="0" w:color="auto"/>
      </w:divBdr>
      <w:divsChild>
        <w:div w:id="1588423469">
          <w:marLeft w:val="0"/>
          <w:marRight w:val="0"/>
          <w:marTop w:val="0"/>
          <w:marBottom w:val="0"/>
          <w:divBdr>
            <w:top w:val="none" w:sz="0" w:space="0" w:color="auto"/>
            <w:left w:val="none" w:sz="0" w:space="0" w:color="auto"/>
            <w:bottom w:val="none" w:sz="0" w:space="0" w:color="auto"/>
            <w:right w:val="none" w:sz="0" w:space="0" w:color="auto"/>
          </w:divBdr>
          <w:divsChild>
            <w:div w:id="1863276606">
              <w:marLeft w:val="0"/>
              <w:marRight w:val="0"/>
              <w:marTop w:val="0"/>
              <w:marBottom w:val="0"/>
              <w:divBdr>
                <w:top w:val="none" w:sz="0" w:space="0" w:color="auto"/>
                <w:left w:val="none" w:sz="0" w:space="0" w:color="auto"/>
                <w:bottom w:val="none" w:sz="0" w:space="0" w:color="auto"/>
                <w:right w:val="none" w:sz="0" w:space="0" w:color="auto"/>
              </w:divBdr>
              <w:divsChild>
                <w:div w:id="13538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066686377">
      <w:bodyDiv w:val="1"/>
      <w:marLeft w:val="0"/>
      <w:marRight w:val="0"/>
      <w:marTop w:val="0"/>
      <w:marBottom w:val="0"/>
      <w:divBdr>
        <w:top w:val="none" w:sz="0" w:space="0" w:color="auto"/>
        <w:left w:val="none" w:sz="0" w:space="0" w:color="auto"/>
        <w:bottom w:val="none" w:sz="0" w:space="0" w:color="auto"/>
        <w:right w:val="none" w:sz="0" w:space="0" w:color="auto"/>
      </w:divBdr>
    </w:div>
    <w:div w:id="1087193507">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30118357">
      <w:bodyDiv w:val="1"/>
      <w:marLeft w:val="0"/>
      <w:marRight w:val="0"/>
      <w:marTop w:val="0"/>
      <w:marBottom w:val="0"/>
      <w:divBdr>
        <w:top w:val="none" w:sz="0" w:space="0" w:color="auto"/>
        <w:left w:val="none" w:sz="0" w:space="0" w:color="auto"/>
        <w:bottom w:val="none" w:sz="0" w:space="0" w:color="auto"/>
        <w:right w:val="none" w:sz="0" w:space="0" w:color="auto"/>
      </w:divBdr>
      <w:divsChild>
        <w:div w:id="1434934821">
          <w:marLeft w:val="0"/>
          <w:marRight w:val="0"/>
          <w:marTop w:val="0"/>
          <w:marBottom w:val="0"/>
          <w:divBdr>
            <w:top w:val="none" w:sz="0" w:space="0" w:color="auto"/>
            <w:left w:val="none" w:sz="0" w:space="0" w:color="auto"/>
            <w:bottom w:val="none" w:sz="0" w:space="0" w:color="auto"/>
            <w:right w:val="none" w:sz="0" w:space="0" w:color="auto"/>
          </w:divBdr>
          <w:divsChild>
            <w:div w:id="209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627">
      <w:bodyDiv w:val="1"/>
      <w:marLeft w:val="0"/>
      <w:marRight w:val="0"/>
      <w:marTop w:val="0"/>
      <w:marBottom w:val="0"/>
      <w:divBdr>
        <w:top w:val="none" w:sz="0" w:space="0" w:color="auto"/>
        <w:left w:val="none" w:sz="0" w:space="0" w:color="auto"/>
        <w:bottom w:val="none" w:sz="0" w:space="0" w:color="auto"/>
        <w:right w:val="none" w:sz="0" w:space="0" w:color="auto"/>
      </w:divBdr>
      <w:divsChild>
        <w:div w:id="277033602">
          <w:marLeft w:val="0"/>
          <w:marRight w:val="0"/>
          <w:marTop w:val="0"/>
          <w:marBottom w:val="0"/>
          <w:divBdr>
            <w:top w:val="none" w:sz="0" w:space="0" w:color="auto"/>
            <w:left w:val="none" w:sz="0" w:space="0" w:color="auto"/>
            <w:bottom w:val="none" w:sz="0" w:space="0" w:color="auto"/>
            <w:right w:val="none" w:sz="0" w:space="0" w:color="auto"/>
          </w:divBdr>
          <w:divsChild>
            <w:div w:id="309284560">
              <w:marLeft w:val="0"/>
              <w:marRight w:val="0"/>
              <w:marTop w:val="0"/>
              <w:marBottom w:val="0"/>
              <w:divBdr>
                <w:top w:val="none" w:sz="0" w:space="0" w:color="auto"/>
                <w:left w:val="none" w:sz="0" w:space="0" w:color="auto"/>
                <w:bottom w:val="none" w:sz="0" w:space="0" w:color="auto"/>
                <w:right w:val="none" w:sz="0" w:space="0" w:color="auto"/>
              </w:divBdr>
              <w:divsChild>
                <w:div w:id="654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20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sChild>
            <w:div w:id="250897996">
              <w:marLeft w:val="0"/>
              <w:marRight w:val="0"/>
              <w:marTop w:val="0"/>
              <w:marBottom w:val="0"/>
              <w:divBdr>
                <w:top w:val="none" w:sz="0" w:space="0" w:color="auto"/>
                <w:left w:val="none" w:sz="0" w:space="0" w:color="auto"/>
                <w:bottom w:val="none" w:sz="0" w:space="0" w:color="auto"/>
                <w:right w:val="none" w:sz="0" w:space="0" w:color="auto"/>
              </w:divBdr>
              <w:divsChild>
                <w:div w:id="15067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8423">
      <w:bodyDiv w:val="1"/>
      <w:marLeft w:val="0"/>
      <w:marRight w:val="0"/>
      <w:marTop w:val="0"/>
      <w:marBottom w:val="0"/>
      <w:divBdr>
        <w:top w:val="none" w:sz="0" w:space="0" w:color="auto"/>
        <w:left w:val="none" w:sz="0" w:space="0" w:color="auto"/>
        <w:bottom w:val="none" w:sz="0" w:space="0" w:color="auto"/>
        <w:right w:val="none" w:sz="0" w:space="0" w:color="auto"/>
      </w:divBdr>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0446598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5">
          <w:marLeft w:val="0"/>
          <w:marRight w:val="0"/>
          <w:marTop w:val="0"/>
          <w:marBottom w:val="0"/>
          <w:divBdr>
            <w:top w:val="none" w:sz="0" w:space="0" w:color="auto"/>
            <w:left w:val="none" w:sz="0" w:space="0" w:color="auto"/>
            <w:bottom w:val="none" w:sz="0" w:space="0" w:color="auto"/>
            <w:right w:val="none" w:sz="0" w:space="0" w:color="auto"/>
          </w:divBdr>
          <w:divsChild>
            <w:div w:id="199977738">
              <w:marLeft w:val="0"/>
              <w:marRight w:val="0"/>
              <w:marTop w:val="0"/>
              <w:marBottom w:val="0"/>
              <w:divBdr>
                <w:top w:val="none" w:sz="0" w:space="0" w:color="auto"/>
                <w:left w:val="none" w:sz="0" w:space="0" w:color="auto"/>
                <w:bottom w:val="none" w:sz="0" w:space="0" w:color="auto"/>
                <w:right w:val="none" w:sz="0" w:space="0" w:color="auto"/>
              </w:divBdr>
              <w:divsChild>
                <w:div w:id="298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1358335">
      <w:bodyDiv w:val="1"/>
      <w:marLeft w:val="0"/>
      <w:marRight w:val="0"/>
      <w:marTop w:val="0"/>
      <w:marBottom w:val="0"/>
      <w:divBdr>
        <w:top w:val="none" w:sz="0" w:space="0" w:color="auto"/>
        <w:left w:val="none" w:sz="0" w:space="0" w:color="auto"/>
        <w:bottom w:val="none" w:sz="0" w:space="0" w:color="auto"/>
        <w:right w:val="none" w:sz="0" w:space="0" w:color="auto"/>
      </w:divBdr>
      <w:divsChild>
        <w:div w:id="363598228">
          <w:marLeft w:val="0"/>
          <w:marRight w:val="0"/>
          <w:marTop w:val="0"/>
          <w:marBottom w:val="0"/>
          <w:divBdr>
            <w:top w:val="none" w:sz="0" w:space="0" w:color="auto"/>
            <w:left w:val="none" w:sz="0" w:space="0" w:color="auto"/>
            <w:bottom w:val="none" w:sz="0" w:space="0" w:color="auto"/>
            <w:right w:val="none" w:sz="0" w:space="0" w:color="auto"/>
          </w:divBdr>
          <w:divsChild>
            <w:div w:id="485054981">
              <w:marLeft w:val="0"/>
              <w:marRight w:val="0"/>
              <w:marTop w:val="0"/>
              <w:marBottom w:val="0"/>
              <w:divBdr>
                <w:top w:val="none" w:sz="0" w:space="0" w:color="auto"/>
                <w:left w:val="none" w:sz="0" w:space="0" w:color="auto"/>
                <w:bottom w:val="none" w:sz="0" w:space="0" w:color="auto"/>
                <w:right w:val="none" w:sz="0" w:space="0" w:color="auto"/>
              </w:divBdr>
              <w:divsChild>
                <w:div w:id="340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267">
      <w:bodyDiv w:val="1"/>
      <w:marLeft w:val="0"/>
      <w:marRight w:val="0"/>
      <w:marTop w:val="0"/>
      <w:marBottom w:val="0"/>
      <w:divBdr>
        <w:top w:val="none" w:sz="0" w:space="0" w:color="auto"/>
        <w:left w:val="none" w:sz="0" w:space="0" w:color="auto"/>
        <w:bottom w:val="none" w:sz="0" w:space="0" w:color="auto"/>
        <w:right w:val="none" w:sz="0" w:space="0" w:color="auto"/>
      </w:divBdr>
      <w:divsChild>
        <w:div w:id="68776073">
          <w:marLeft w:val="0"/>
          <w:marRight w:val="0"/>
          <w:marTop w:val="0"/>
          <w:marBottom w:val="0"/>
          <w:divBdr>
            <w:top w:val="none" w:sz="0" w:space="0" w:color="auto"/>
            <w:left w:val="none" w:sz="0" w:space="0" w:color="auto"/>
            <w:bottom w:val="none" w:sz="0" w:space="0" w:color="auto"/>
            <w:right w:val="none" w:sz="0" w:space="0" w:color="auto"/>
          </w:divBdr>
          <w:divsChild>
            <w:div w:id="506944178">
              <w:marLeft w:val="0"/>
              <w:marRight w:val="0"/>
              <w:marTop w:val="0"/>
              <w:marBottom w:val="0"/>
              <w:divBdr>
                <w:top w:val="none" w:sz="0" w:space="0" w:color="auto"/>
                <w:left w:val="none" w:sz="0" w:space="0" w:color="auto"/>
                <w:bottom w:val="none" w:sz="0" w:space="0" w:color="auto"/>
                <w:right w:val="none" w:sz="0" w:space="0" w:color="auto"/>
              </w:divBdr>
              <w:divsChild>
                <w:div w:id="12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9335">
      <w:bodyDiv w:val="1"/>
      <w:marLeft w:val="0"/>
      <w:marRight w:val="0"/>
      <w:marTop w:val="0"/>
      <w:marBottom w:val="0"/>
      <w:divBdr>
        <w:top w:val="none" w:sz="0" w:space="0" w:color="auto"/>
        <w:left w:val="none" w:sz="0" w:space="0" w:color="auto"/>
        <w:bottom w:val="none" w:sz="0" w:space="0" w:color="auto"/>
        <w:right w:val="none" w:sz="0" w:space="0" w:color="auto"/>
      </w:divBdr>
    </w:div>
    <w:div w:id="1589121412">
      <w:bodyDiv w:val="1"/>
      <w:marLeft w:val="0"/>
      <w:marRight w:val="0"/>
      <w:marTop w:val="0"/>
      <w:marBottom w:val="0"/>
      <w:divBdr>
        <w:top w:val="none" w:sz="0" w:space="0" w:color="auto"/>
        <w:left w:val="none" w:sz="0" w:space="0" w:color="auto"/>
        <w:bottom w:val="none" w:sz="0" w:space="0" w:color="auto"/>
        <w:right w:val="none" w:sz="0" w:space="0" w:color="auto"/>
      </w:divBdr>
      <w:divsChild>
        <w:div w:id="293491173">
          <w:marLeft w:val="0"/>
          <w:marRight w:val="0"/>
          <w:marTop w:val="0"/>
          <w:marBottom w:val="0"/>
          <w:divBdr>
            <w:top w:val="none" w:sz="0" w:space="0" w:color="auto"/>
            <w:left w:val="none" w:sz="0" w:space="0" w:color="auto"/>
            <w:bottom w:val="none" w:sz="0" w:space="0" w:color="auto"/>
            <w:right w:val="none" w:sz="0" w:space="0" w:color="auto"/>
          </w:divBdr>
          <w:divsChild>
            <w:div w:id="370886274">
              <w:marLeft w:val="0"/>
              <w:marRight w:val="0"/>
              <w:marTop w:val="0"/>
              <w:marBottom w:val="0"/>
              <w:divBdr>
                <w:top w:val="none" w:sz="0" w:space="0" w:color="auto"/>
                <w:left w:val="none" w:sz="0" w:space="0" w:color="auto"/>
                <w:bottom w:val="none" w:sz="0" w:space="0" w:color="auto"/>
                <w:right w:val="none" w:sz="0" w:space="0" w:color="auto"/>
              </w:divBdr>
              <w:divsChild>
                <w:div w:id="1122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2276">
      <w:bodyDiv w:val="1"/>
      <w:marLeft w:val="0"/>
      <w:marRight w:val="0"/>
      <w:marTop w:val="0"/>
      <w:marBottom w:val="0"/>
      <w:divBdr>
        <w:top w:val="none" w:sz="0" w:space="0" w:color="auto"/>
        <w:left w:val="none" w:sz="0" w:space="0" w:color="auto"/>
        <w:bottom w:val="none" w:sz="0" w:space="0" w:color="auto"/>
        <w:right w:val="none" w:sz="0" w:space="0" w:color="auto"/>
      </w:divBdr>
      <w:divsChild>
        <w:div w:id="219169262">
          <w:marLeft w:val="0"/>
          <w:marRight w:val="0"/>
          <w:marTop w:val="0"/>
          <w:marBottom w:val="0"/>
          <w:divBdr>
            <w:top w:val="none" w:sz="0" w:space="0" w:color="auto"/>
            <w:left w:val="none" w:sz="0" w:space="0" w:color="auto"/>
            <w:bottom w:val="none" w:sz="0" w:space="0" w:color="auto"/>
            <w:right w:val="none" w:sz="0" w:space="0" w:color="auto"/>
          </w:divBdr>
          <w:divsChild>
            <w:div w:id="2090731187">
              <w:marLeft w:val="0"/>
              <w:marRight w:val="0"/>
              <w:marTop w:val="0"/>
              <w:marBottom w:val="0"/>
              <w:divBdr>
                <w:top w:val="none" w:sz="0" w:space="0" w:color="auto"/>
                <w:left w:val="none" w:sz="0" w:space="0" w:color="auto"/>
                <w:bottom w:val="none" w:sz="0" w:space="0" w:color="auto"/>
                <w:right w:val="none" w:sz="0" w:space="0" w:color="auto"/>
              </w:divBdr>
              <w:divsChild>
                <w:div w:id="430708721">
                  <w:marLeft w:val="0"/>
                  <w:marRight w:val="0"/>
                  <w:marTop w:val="0"/>
                  <w:marBottom w:val="0"/>
                  <w:divBdr>
                    <w:top w:val="none" w:sz="0" w:space="0" w:color="auto"/>
                    <w:left w:val="none" w:sz="0" w:space="0" w:color="auto"/>
                    <w:bottom w:val="none" w:sz="0" w:space="0" w:color="auto"/>
                    <w:right w:val="none" w:sz="0" w:space="0" w:color="auto"/>
                  </w:divBdr>
                  <w:divsChild>
                    <w:div w:id="960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857">
      <w:bodyDiv w:val="1"/>
      <w:marLeft w:val="0"/>
      <w:marRight w:val="0"/>
      <w:marTop w:val="0"/>
      <w:marBottom w:val="0"/>
      <w:divBdr>
        <w:top w:val="none" w:sz="0" w:space="0" w:color="auto"/>
        <w:left w:val="none" w:sz="0" w:space="0" w:color="auto"/>
        <w:bottom w:val="none" w:sz="0" w:space="0" w:color="auto"/>
        <w:right w:val="none" w:sz="0" w:space="0" w:color="auto"/>
      </w:divBdr>
      <w:divsChild>
        <w:div w:id="492454119">
          <w:marLeft w:val="0"/>
          <w:marRight w:val="0"/>
          <w:marTop w:val="0"/>
          <w:marBottom w:val="0"/>
          <w:divBdr>
            <w:top w:val="none" w:sz="0" w:space="0" w:color="auto"/>
            <w:left w:val="none" w:sz="0" w:space="0" w:color="auto"/>
            <w:bottom w:val="none" w:sz="0" w:space="0" w:color="auto"/>
            <w:right w:val="none" w:sz="0" w:space="0" w:color="auto"/>
          </w:divBdr>
          <w:divsChild>
            <w:div w:id="2134129702">
              <w:marLeft w:val="0"/>
              <w:marRight w:val="0"/>
              <w:marTop w:val="0"/>
              <w:marBottom w:val="0"/>
              <w:divBdr>
                <w:top w:val="none" w:sz="0" w:space="0" w:color="auto"/>
                <w:left w:val="none" w:sz="0" w:space="0" w:color="auto"/>
                <w:bottom w:val="none" w:sz="0" w:space="0" w:color="auto"/>
                <w:right w:val="none" w:sz="0" w:space="0" w:color="auto"/>
              </w:divBdr>
              <w:divsChild>
                <w:div w:id="11204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879">
      <w:bodyDiv w:val="1"/>
      <w:marLeft w:val="0"/>
      <w:marRight w:val="0"/>
      <w:marTop w:val="0"/>
      <w:marBottom w:val="0"/>
      <w:divBdr>
        <w:top w:val="none" w:sz="0" w:space="0" w:color="auto"/>
        <w:left w:val="none" w:sz="0" w:space="0" w:color="auto"/>
        <w:bottom w:val="none" w:sz="0" w:space="0" w:color="auto"/>
        <w:right w:val="none" w:sz="0" w:space="0" w:color="auto"/>
      </w:divBdr>
      <w:divsChild>
        <w:div w:id="1480339666">
          <w:marLeft w:val="0"/>
          <w:marRight w:val="0"/>
          <w:marTop w:val="0"/>
          <w:marBottom w:val="0"/>
          <w:divBdr>
            <w:top w:val="none" w:sz="0" w:space="0" w:color="auto"/>
            <w:left w:val="none" w:sz="0" w:space="0" w:color="auto"/>
            <w:bottom w:val="none" w:sz="0" w:space="0" w:color="auto"/>
            <w:right w:val="none" w:sz="0" w:space="0" w:color="auto"/>
          </w:divBdr>
          <w:divsChild>
            <w:div w:id="1602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55866268">
      <w:bodyDiv w:val="1"/>
      <w:marLeft w:val="0"/>
      <w:marRight w:val="0"/>
      <w:marTop w:val="0"/>
      <w:marBottom w:val="0"/>
      <w:divBdr>
        <w:top w:val="none" w:sz="0" w:space="0" w:color="auto"/>
        <w:left w:val="none" w:sz="0" w:space="0" w:color="auto"/>
        <w:bottom w:val="none" w:sz="0" w:space="0" w:color="auto"/>
        <w:right w:val="none" w:sz="0" w:space="0" w:color="auto"/>
      </w:divBdr>
      <w:divsChild>
        <w:div w:id="1627469130">
          <w:marLeft w:val="0"/>
          <w:marRight w:val="0"/>
          <w:marTop w:val="0"/>
          <w:marBottom w:val="0"/>
          <w:divBdr>
            <w:top w:val="none" w:sz="0" w:space="0" w:color="auto"/>
            <w:left w:val="none" w:sz="0" w:space="0" w:color="auto"/>
            <w:bottom w:val="none" w:sz="0" w:space="0" w:color="auto"/>
            <w:right w:val="none" w:sz="0" w:space="0" w:color="auto"/>
          </w:divBdr>
          <w:divsChild>
            <w:div w:id="1297679993">
              <w:marLeft w:val="0"/>
              <w:marRight w:val="0"/>
              <w:marTop w:val="0"/>
              <w:marBottom w:val="0"/>
              <w:divBdr>
                <w:top w:val="none" w:sz="0" w:space="0" w:color="auto"/>
                <w:left w:val="none" w:sz="0" w:space="0" w:color="auto"/>
                <w:bottom w:val="none" w:sz="0" w:space="0" w:color="auto"/>
                <w:right w:val="none" w:sz="0" w:space="0" w:color="auto"/>
              </w:divBdr>
              <w:divsChild>
                <w:div w:id="1457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3055">
      <w:bodyDiv w:val="1"/>
      <w:marLeft w:val="0"/>
      <w:marRight w:val="0"/>
      <w:marTop w:val="0"/>
      <w:marBottom w:val="0"/>
      <w:divBdr>
        <w:top w:val="none" w:sz="0" w:space="0" w:color="auto"/>
        <w:left w:val="none" w:sz="0" w:space="0" w:color="auto"/>
        <w:bottom w:val="none" w:sz="0" w:space="0" w:color="auto"/>
        <w:right w:val="none" w:sz="0" w:space="0" w:color="auto"/>
      </w:divBdr>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765">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Registration/Fees.aspx" TargetMode="External"/><Relationship Id="rId13" Type="http://schemas.openxmlformats.org/officeDocument/2006/relationships/hyperlink" Target="http://www.pharmacyboard.gov.au/Registration-Standards.aspx" TargetMode="External"/><Relationship Id="rId18" Type="http://schemas.openxmlformats.org/officeDocument/2006/relationships/hyperlink" Target="http://www.racgp.org.au/your-practice/guidelines/drugs-land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Forgot-Password.aspx" TargetMode="External"/><Relationship Id="rId17" Type="http://schemas.openxmlformats.org/officeDocument/2006/relationships/hyperlink" Target="http://www.pharmacyboard.gov.au/Codes-Guidelin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harmacyboard.gov.au/News/2015-10-02-revised-guidelines.aspx" TargetMode="External"/><Relationship Id="rId20" Type="http://schemas.openxmlformats.org/officeDocument/2006/relationships/hyperlink" Target="http://www.pharmac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24" Type="http://schemas.openxmlformats.org/officeDocument/2006/relationships/hyperlink" Target="http://www.ahpra.gov.au/About-AHPRA/What-We-Do.aspx" TargetMode="External"/><Relationship Id="rId5" Type="http://schemas.openxmlformats.org/officeDocument/2006/relationships/webSettings" Target="webSettings.xml"/><Relationship Id="rId15" Type="http://schemas.openxmlformats.org/officeDocument/2006/relationships/hyperlink" Target="http://www.pharmacyboard.gov.au/Codes-Guidelines/FAQ/Renewal.aspx" TargetMode="External"/><Relationship Id="rId23" Type="http://schemas.openxmlformats.org/officeDocument/2006/relationships/hyperlink" Target="http://www.pharmacyboard.gov.au/" TargetMode="External"/><Relationship Id="rId28" Type="http://schemas.openxmlformats.org/officeDocument/2006/relationships/theme" Target="theme/theme1.xml"/><Relationship Id="rId10" Type="http://schemas.openxmlformats.org/officeDocument/2006/relationships/hyperlink" Target="http://www.pharmacyboard.gov.au/News/2015-09-11-update-contact-details.aspx" TargetMode="External"/><Relationship Id="rId19" Type="http://schemas.openxmlformats.org/officeDocument/2006/relationships/hyperlink" Target="https://medicinesaustralia.com.au/code-of-conduct/" TargetMode="External"/><Relationship Id="rId4" Type="http://schemas.openxmlformats.org/officeDocument/2006/relationships/settings" Target="settings.xml"/><Relationship Id="rId9" Type="http://schemas.openxmlformats.org/officeDocument/2006/relationships/hyperlink" Target="https://www.ahpra.gov.au/Login.aspx" TargetMode="External"/><Relationship Id="rId14" Type="http://schemas.openxmlformats.org/officeDocument/2006/relationships/hyperlink" Target="http://www.pharmacyboard.gov.au/Registration/Registration-Renewal.aspx" TargetMode="External"/><Relationship Id="rId22" Type="http://schemas.openxmlformats.org/officeDocument/2006/relationships/hyperlink" Target="https://www.ahpra.gov.au/About-AHPRA/Contact-Us/Make-an-Enquiry.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What-We-D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B938-4B2B-4B2B-AA84-5C177392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8375</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dc:title>
  <dc:subject>Communique</dc:subject>
  <dc:creator>Pharmacy Board</dc:creator>
  <cp:keywords>18 September 2015</cp:keywords>
  <cp:lastModifiedBy>Tara Johnson</cp:lastModifiedBy>
  <cp:revision>2</cp:revision>
  <cp:lastPrinted>2015-02-04T02:22:00Z</cp:lastPrinted>
  <dcterms:created xsi:type="dcterms:W3CDTF">2015-09-30T05:12:00Z</dcterms:created>
  <dcterms:modified xsi:type="dcterms:W3CDTF">2015-09-30T05:12:00Z</dcterms:modified>
</cp:coreProperties>
</file>