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C1" w:rsidRPr="001B3F78" w:rsidRDefault="00755DC1" w:rsidP="00755DC1">
      <w:pPr>
        <w:pStyle w:val="AHPRATitle"/>
        <w:rPr>
          <w:b/>
          <w:noProof/>
          <w:sz w:val="28"/>
          <w:szCs w:val="28"/>
        </w:rPr>
      </w:pPr>
      <w:r w:rsidRPr="001B3F78">
        <w:rPr>
          <w:b/>
          <w:sz w:val="28"/>
          <w:szCs w:val="28"/>
        </w:rPr>
        <w:t>Communiqué</w:t>
      </w:r>
    </w:p>
    <w:p w:rsidR="00755DC1" w:rsidRDefault="001449F4" w:rsidP="00755DC1">
      <w:pPr>
        <w:spacing w:after="200"/>
        <w:rPr>
          <w:b/>
          <w:sz w:val="20"/>
          <w:szCs w:val="20"/>
          <w:lang w:val="en-US"/>
        </w:rPr>
      </w:pPr>
      <w:r>
        <w:rPr>
          <w:b/>
          <w:sz w:val="20"/>
          <w:szCs w:val="20"/>
          <w:lang w:val="en-US"/>
        </w:rPr>
        <w:t>3</w:t>
      </w:r>
      <w:r w:rsidR="00C96C59">
        <w:rPr>
          <w:b/>
          <w:sz w:val="20"/>
          <w:szCs w:val="20"/>
          <w:lang w:val="en-US"/>
        </w:rPr>
        <w:t xml:space="preserve"> February 2016</w:t>
      </w:r>
    </w:p>
    <w:p w:rsidR="00FB64D5" w:rsidRPr="00EF7BF6" w:rsidRDefault="00FB64D5" w:rsidP="00142930">
      <w:pPr>
        <w:pStyle w:val="AHPRASubhead"/>
        <w:rPr>
          <w:b w:val="0"/>
          <w:color w:val="000000"/>
        </w:rPr>
      </w:pPr>
      <w:r w:rsidRPr="00EF7BF6">
        <w:rPr>
          <w:b w:val="0"/>
          <w:color w:val="000000"/>
        </w:rPr>
        <w:t>The Pharmacy Board of Australia (the Board) meets each month to consider and decide on any matters related to its regulatory function</w:t>
      </w:r>
      <w:r w:rsidR="005632A0" w:rsidRPr="00EF7BF6">
        <w:rPr>
          <w:b w:val="0"/>
          <w:color w:val="000000"/>
        </w:rPr>
        <w:t xml:space="preserve"> under the National Law</w:t>
      </w:r>
      <w:r w:rsidR="005632A0" w:rsidRPr="00EF7BF6">
        <w:rPr>
          <w:rStyle w:val="FootnoteReference"/>
          <w:b w:val="0"/>
        </w:rPr>
        <w:footnoteReference w:id="2"/>
      </w:r>
      <w:r w:rsidR="005632A0" w:rsidRPr="00EF7BF6">
        <w:rPr>
          <w:b w:val="0"/>
          <w:color w:val="000000"/>
        </w:rPr>
        <w:t xml:space="preserve"> and </w:t>
      </w:r>
      <w:r w:rsidRPr="00EF7BF6">
        <w:rPr>
          <w:b w:val="0"/>
          <w:color w:val="000000"/>
        </w:rPr>
        <w:t xml:space="preserve">within the National Registration and Accreditation Scheme (the National Scheme). </w:t>
      </w:r>
    </w:p>
    <w:p w:rsidR="00FB64D5" w:rsidRPr="00EF7BF6" w:rsidRDefault="00FB64D5" w:rsidP="00142930">
      <w:pPr>
        <w:pStyle w:val="AHPRAbody"/>
      </w:pPr>
      <w:r w:rsidRPr="00EF7BF6">
        <w:rPr>
          <w:rFonts w:eastAsiaTheme="minorHAnsi"/>
          <w:color w:val="000000"/>
        </w:rPr>
        <w:t>This communiqué aims to inform stakeholders of the work of the Board and matters regarding the National Scheme</w:t>
      </w:r>
      <w:r w:rsidRPr="00EF7BF6">
        <w:t>. Please forward it on to colleagues and employees who may be interested in its content.</w:t>
      </w:r>
      <w:bookmarkStart w:id="0" w:name="_GoBack"/>
      <w:bookmarkEnd w:id="0"/>
    </w:p>
    <w:p w:rsidR="00FB64D5" w:rsidRPr="009E7EA1" w:rsidRDefault="00C96C59" w:rsidP="009E7EA1">
      <w:pPr>
        <w:pStyle w:val="AHPRASubhead"/>
        <w:rPr>
          <w:rFonts w:cs="Arial"/>
          <w:szCs w:val="20"/>
        </w:rPr>
      </w:pPr>
      <w:r>
        <w:rPr>
          <w:rFonts w:cs="Arial"/>
          <w:szCs w:val="20"/>
        </w:rPr>
        <w:t>January 2016</w:t>
      </w:r>
      <w:r w:rsidR="00FB64D5" w:rsidRPr="009E7EA1">
        <w:rPr>
          <w:rFonts w:cs="Arial"/>
          <w:szCs w:val="20"/>
        </w:rPr>
        <w:t xml:space="preserve"> Board meeting</w:t>
      </w:r>
    </w:p>
    <w:p w:rsidR="00C96C59" w:rsidRDefault="009E1A11" w:rsidP="00142930">
      <w:pPr>
        <w:pStyle w:val="AHPRAbody"/>
      </w:pPr>
      <w:r>
        <w:t xml:space="preserve">During </w:t>
      </w:r>
      <w:r w:rsidR="0055204A">
        <w:t>its</w:t>
      </w:r>
      <w:r w:rsidR="00FB64D5" w:rsidRPr="00EF7BF6">
        <w:t xml:space="preserve"> </w:t>
      </w:r>
      <w:r w:rsidR="00C96C59">
        <w:t>January</w:t>
      </w:r>
      <w:r w:rsidR="00FB64D5" w:rsidRPr="00EF7BF6">
        <w:t xml:space="preserve"> meeting held in Melbourne on </w:t>
      </w:r>
      <w:r w:rsidR="00C96C59">
        <w:t>22 January 2016</w:t>
      </w:r>
      <w:r>
        <w:t>,</w:t>
      </w:r>
      <w:r w:rsidR="007235F6">
        <w:t xml:space="preserve"> in addition to addressing its routine regulatory matters,</w:t>
      </w:r>
      <w:r>
        <w:t xml:space="preserve"> the Board </w:t>
      </w:r>
      <w:r w:rsidR="00C96C59">
        <w:t xml:space="preserve">also addressed a number of </w:t>
      </w:r>
      <w:r w:rsidR="001F179D">
        <w:t xml:space="preserve">other </w:t>
      </w:r>
      <w:r w:rsidR="00C96C59">
        <w:t>matters.</w:t>
      </w:r>
    </w:p>
    <w:p w:rsidR="00C96C59" w:rsidRPr="00740D27" w:rsidRDefault="00DD605C" w:rsidP="00C96C59">
      <w:pPr>
        <w:pStyle w:val="AHPRASubhead"/>
        <w:rPr>
          <w:rFonts w:cs="Arial"/>
          <w:color w:val="auto"/>
          <w:szCs w:val="20"/>
        </w:rPr>
      </w:pPr>
      <w:r w:rsidRPr="00DD605C">
        <w:rPr>
          <w:rFonts w:cs="Arial"/>
          <w:color w:val="auto"/>
          <w:szCs w:val="20"/>
        </w:rPr>
        <w:t>Strategic planning</w:t>
      </w:r>
    </w:p>
    <w:p w:rsidR="00C96C59" w:rsidRDefault="00C96C59" w:rsidP="00C96C59">
      <w:pPr>
        <w:pStyle w:val="Default"/>
        <w:spacing w:after="200"/>
        <w:rPr>
          <w:sz w:val="20"/>
          <w:szCs w:val="20"/>
        </w:rPr>
      </w:pPr>
      <w:r>
        <w:rPr>
          <w:sz w:val="20"/>
          <w:szCs w:val="20"/>
        </w:rPr>
        <w:t xml:space="preserve">The Board </w:t>
      </w:r>
      <w:r w:rsidR="00740D27">
        <w:rPr>
          <w:sz w:val="20"/>
          <w:szCs w:val="20"/>
        </w:rPr>
        <w:t xml:space="preserve">held </w:t>
      </w:r>
      <w:r>
        <w:rPr>
          <w:sz w:val="20"/>
          <w:szCs w:val="20"/>
        </w:rPr>
        <w:t xml:space="preserve"> a strategic planning workshop to identify new and ongoing priorities for </w:t>
      </w:r>
      <w:r w:rsidR="003C7919">
        <w:rPr>
          <w:sz w:val="20"/>
          <w:szCs w:val="20"/>
        </w:rPr>
        <w:t>inclusion in its</w:t>
      </w:r>
      <w:r>
        <w:rPr>
          <w:sz w:val="20"/>
          <w:szCs w:val="20"/>
        </w:rPr>
        <w:t xml:space="preserve"> 2016</w:t>
      </w:r>
      <w:r w:rsidR="00740D27">
        <w:rPr>
          <w:sz w:val="20"/>
          <w:szCs w:val="20"/>
        </w:rPr>
        <w:t>/</w:t>
      </w:r>
      <w:r>
        <w:rPr>
          <w:sz w:val="20"/>
          <w:szCs w:val="20"/>
        </w:rPr>
        <w:t>17</w:t>
      </w:r>
      <w:r w:rsidR="003C7919">
        <w:rPr>
          <w:sz w:val="20"/>
          <w:szCs w:val="20"/>
        </w:rPr>
        <w:t xml:space="preserve"> regulatory work plan</w:t>
      </w:r>
      <w:r>
        <w:rPr>
          <w:sz w:val="20"/>
          <w:szCs w:val="20"/>
        </w:rPr>
        <w:t xml:space="preserve">. The Board will continue this work concurrently with its </w:t>
      </w:r>
      <w:r w:rsidR="003C7919">
        <w:rPr>
          <w:sz w:val="20"/>
          <w:szCs w:val="20"/>
        </w:rPr>
        <w:t>2016</w:t>
      </w:r>
      <w:r w:rsidR="00740D27">
        <w:rPr>
          <w:sz w:val="20"/>
          <w:szCs w:val="20"/>
        </w:rPr>
        <w:t>/</w:t>
      </w:r>
      <w:r w:rsidR="003C7919">
        <w:rPr>
          <w:sz w:val="20"/>
          <w:szCs w:val="20"/>
        </w:rPr>
        <w:t xml:space="preserve">17 </w:t>
      </w:r>
      <w:r>
        <w:rPr>
          <w:sz w:val="20"/>
          <w:szCs w:val="20"/>
        </w:rPr>
        <w:t xml:space="preserve">budget </w:t>
      </w:r>
      <w:r w:rsidR="003C7919">
        <w:rPr>
          <w:sz w:val="20"/>
          <w:szCs w:val="20"/>
        </w:rPr>
        <w:t xml:space="preserve">development process. The Board’s finalised </w:t>
      </w:r>
      <w:r>
        <w:rPr>
          <w:sz w:val="20"/>
          <w:szCs w:val="20"/>
        </w:rPr>
        <w:t xml:space="preserve">regulatory work plan will be </w:t>
      </w:r>
      <w:r w:rsidR="003C7919">
        <w:rPr>
          <w:sz w:val="20"/>
          <w:szCs w:val="20"/>
        </w:rPr>
        <w:t>incorporated</w:t>
      </w:r>
      <w:r>
        <w:rPr>
          <w:sz w:val="20"/>
          <w:szCs w:val="20"/>
        </w:rPr>
        <w:t xml:space="preserve"> in</w:t>
      </w:r>
      <w:r w:rsidR="004573BB">
        <w:rPr>
          <w:sz w:val="20"/>
          <w:szCs w:val="20"/>
        </w:rPr>
        <w:t>to</w:t>
      </w:r>
      <w:r>
        <w:rPr>
          <w:sz w:val="20"/>
          <w:szCs w:val="20"/>
        </w:rPr>
        <w:t xml:space="preserve"> its </w:t>
      </w:r>
      <w:r w:rsidR="00740D27">
        <w:rPr>
          <w:sz w:val="20"/>
          <w:szCs w:val="20"/>
        </w:rPr>
        <w:t>h</w:t>
      </w:r>
      <w:r>
        <w:rPr>
          <w:sz w:val="20"/>
          <w:szCs w:val="20"/>
        </w:rPr>
        <w:t xml:space="preserve">ealth </w:t>
      </w:r>
      <w:r w:rsidR="00740D27">
        <w:rPr>
          <w:sz w:val="20"/>
          <w:szCs w:val="20"/>
        </w:rPr>
        <w:t>p</w:t>
      </w:r>
      <w:r>
        <w:rPr>
          <w:sz w:val="20"/>
          <w:szCs w:val="20"/>
        </w:rPr>
        <w:t xml:space="preserve">rofession </w:t>
      </w:r>
      <w:r w:rsidR="00740D27">
        <w:rPr>
          <w:sz w:val="20"/>
          <w:szCs w:val="20"/>
        </w:rPr>
        <w:t>a</w:t>
      </w:r>
      <w:r>
        <w:rPr>
          <w:sz w:val="20"/>
          <w:szCs w:val="20"/>
        </w:rPr>
        <w:t xml:space="preserve">greement </w:t>
      </w:r>
      <w:r w:rsidR="003C7919">
        <w:rPr>
          <w:sz w:val="20"/>
          <w:szCs w:val="20"/>
        </w:rPr>
        <w:t>for 2016</w:t>
      </w:r>
      <w:r w:rsidR="00740D27">
        <w:rPr>
          <w:sz w:val="20"/>
          <w:szCs w:val="20"/>
        </w:rPr>
        <w:t>/</w:t>
      </w:r>
      <w:r w:rsidR="003C7919">
        <w:rPr>
          <w:sz w:val="20"/>
          <w:szCs w:val="20"/>
        </w:rPr>
        <w:t>17 which will be published on the Board’s website</w:t>
      </w:r>
      <w:r w:rsidR="004573BB">
        <w:rPr>
          <w:sz w:val="20"/>
          <w:szCs w:val="20"/>
        </w:rPr>
        <w:t>.</w:t>
      </w:r>
    </w:p>
    <w:p w:rsidR="0072156D" w:rsidRPr="00740D27" w:rsidRDefault="00DD605C" w:rsidP="0072156D">
      <w:pPr>
        <w:pStyle w:val="AHPRASubhead"/>
        <w:rPr>
          <w:rFonts w:cs="Arial"/>
          <w:color w:val="auto"/>
          <w:szCs w:val="20"/>
        </w:rPr>
      </w:pPr>
      <w:r w:rsidRPr="00DD605C">
        <w:rPr>
          <w:rFonts w:cs="Arial"/>
          <w:color w:val="auto"/>
          <w:szCs w:val="20"/>
        </w:rPr>
        <w:t>Meeting with the Australian Pharmacy Council</w:t>
      </w:r>
    </w:p>
    <w:p w:rsidR="0072156D" w:rsidRDefault="0072156D" w:rsidP="0072156D">
      <w:pPr>
        <w:pStyle w:val="Default"/>
        <w:spacing w:after="200"/>
        <w:rPr>
          <w:sz w:val="20"/>
          <w:szCs w:val="20"/>
        </w:rPr>
      </w:pPr>
      <w:r>
        <w:rPr>
          <w:sz w:val="20"/>
          <w:szCs w:val="20"/>
        </w:rPr>
        <w:t xml:space="preserve">The Board met with </w:t>
      </w:r>
      <w:r w:rsidR="001F179D">
        <w:rPr>
          <w:sz w:val="20"/>
          <w:szCs w:val="20"/>
        </w:rPr>
        <w:t>d</w:t>
      </w:r>
      <w:r>
        <w:rPr>
          <w:sz w:val="20"/>
          <w:szCs w:val="20"/>
        </w:rPr>
        <w:t xml:space="preserve">elegates and senior staff of the Australian Pharmacy Council (APC) to discuss work carried out by APC on behalf of the Board.  </w:t>
      </w:r>
    </w:p>
    <w:p w:rsidR="0072156D" w:rsidRDefault="0072156D" w:rsidP="0072156D">
      <w:pPr>
        <w:pStyle w:val="Default"/>
        <w:spacing w:after="200"/>
        <w:rPr>
          <w:sz w:val="20"/>
          <w:szCs w:val="20"/>
        </w:rPr>
      </w:pPr>
      <w:r>
        <w:rPr>
          <w:sz w:val="20"/>
          <w:szCs w:val="20"/>
        </w:rPr>
        <w:t>Under the National Law</w:t>
      </w:r>
      <w:r w:rsidR="00BB2D22">
        <w:rPr>
          <w:sz w:val="20"/>
          <w:szCs w:val="20"/>
        </w:rPr>
        <w:t>,</w:t>
      </w:r>
      <w:r>
        <w:rPr>
          <w:sz w:val="20"/>
          <w:szCs w:val="20"/>
        </w:rPr>
        <w:t xml:space="preserve"> which established the National Scheme, the Board </w:t>
      </w:r>
      <w:r w:rsidR="00BB2D22">
        <w:rPr>
          <w:sz w:val="20"/>
          <w:szCs w:val="20"/>
        </w:rPr>
        <w:t xml:space="preserve">decided </w:t>
      </w:r>
      <w:r>
        <w:rPr>
          <w:sz w:val="20"/>
          <w:szCs w:val="20"/>
        </w:rPr>
        <w:t xml:space="preserve">the accreditation function for the pharmacy profession </w:t>
      </w:r>
      <w:r w:rsidR="00BB2D22">
        <w:rPr>
          <w:sz w:val="20"/>
          <w:szCs w:val="20"/>
        </w:rPr>
        <w:t xml:space="preserve">would </w:t>
      </w:r>
      <w:r>
        <w:rPr>
          <w:sz w:val="20"/>
          <w:szCs w:val="20"/>
        </w:rPr>
        <w:t>be exercised by APC. The accreditation agreement between the Australian Health Practitioner Regulation Agency (AHPRA) and APC facilitates the collaboration between APC, AHPRA and the Board.</w:t>
      </w:r>
    </w:p>
    <w:p w:rsidR="0072156D" w:rsidRPr="00203DEB" w:rsidRDefault="0072156D" w:rsidP="0072156D">
      <w:pPr>
        <w:pStyle w:val="Default"/>
        <w:spacing w:after="200"/>
        <w:rPr>
          <w:sz w:val="20"/>
          <w:szCs w:val="20"/>
        </w:rPr>
      </w:pPr>
      <w:r>
        <w:rPr>
          <w:sz w:val="20"/>
          <w:szCs w:val="20"/>
        </w:rPr>
        <w:t xml:space="preserve">In addition to </w:t>
      </w:r>
      <w:r w:rsidRPr="00203DEB">
        <w:rPr>
          <w:sz w:val="20"/>
          <w:szCs w:val="20"/>
        </w:rPr>
        <w:t>accrediting education providers and programs of stu</w:t>
      </w:r>
      <w:r>
        <w:rPr>
          <w:sz w:val="20"/>
          <w:szCs w:val="20"/>
        </w:rPr>
        <w:t>dy for the pharmacy profession, the APC also has other important functions such as the assessment of overseas qualified pharmacists seeking registration to practise in Australia and the administration of the written examination component of the Board’s Registration Examination. Intern pharmacists sit this examination to compete the requirements for general registration.</w:t>
      </w:r>
    </w:p>
    <w:p w:rsidR="0072156D" w:rsidRDefault="0072156D" w:rsidP="0072156D">
      <w:pPr>
        <w:pStyle w:val="Default"/>
        <w:spacing w:after="200"/>
        <w:rPr>
          <w:sz w:val="20"/>
          <w:szCs w:val="20"/>
        </w:rPr>
      </w:pPr>
      <w:r>
        <w:rPr>
          <w:sz w:val="20"/>
          <w:szCs w:val="20"/>
        </w:rPr>
        <w:t>The agreed work program being carried out by APC and the costs of delivering the accreditation function</w:t>
      </w:r>
      <w:r w:rsidR="004573BB">
        <w:rPr>
          <w:sz w:val="20"/>
          <w:szCs w:val="20"/>
        </w:rPr>
        <w:t>s</w:t>
      </w:r>
      <w:r>
        <w:rPr>
          <w:sz w:val="20"/>
          <w:szCs w:val="20"/>
        </w:rPr>
        <w:t xml:space="preserve"> under the National Law were discussed by the Board and APC. As part of the Board’s annual budget preparations, these discussions will assist the Board to determine the funding amount to be contributed to ensure successful delivery by APC of the accreditation functions under the National Scheme.</w:t>
      </w:r>
    </w:p>
    <w:p w:rsidR="00F33A7D" w:rsidRPr="00FC2AE2" w:rsidRDefault="00157B0A" w:rsidP="00F33A7D">
      <w:pPr>
        <w:pStyle w:val="AHPRASubheading"/>
      </w:pPr>
      <w:r>
        <w:rPr>
          <w:bCs/>
          <w:lang w:val="en-AU"/>
        </w:rPr>
        <w:t>Further consultation on guidance</w:t>
      </w:r>
      <w:r w:rsidR="00BB2D22">
        <w:rPr>
          <w:bCs/>
          <w:lang w:val="en-AU"/>
        </w:rPr>
        <w:t>:</w:t>
      </w:r>
      <w:r>
        <w:rPr>
          <w:bCs/>
          <w:lang w:val="en-AU"/>
        </w:rPr>
        <w:t xml:space="preserve"> </w:t>
      </w:r>
      <w:r w:rsidRPr="00157B0A">
        <w:rPr>
          <w:bCs/>
          <w:lang w:val="en-AU"/>
        </w:rPr>
        <w:t xml:space="preserve">Expiry of </w:t>
      </w:r>
      <w:r>
        <w:rPr>
          <w:bCs/>
          <w:lang w:val="en-AU"/>
        </w:rPr>
        <w:t>compounded parenteral medicines</w:t>
      </w:r>
    </w:p>
    <w:p w:rsidR="00157B0A" w:rsidRDefault="00167B00" w:rsidP="00167B00">
      <w:pPr>
        <w:pStyle w:val="AHPRABody0"/>
        <w:spacing w:after="200"/>
      </w:pPr>
      <w:r w:rsidRPr="00157B0A">
        <w:t xml:space="preserve">The Board published its </w:t>
      </w:r>
      <w:r w:rsidRPr="00157B0A">
        <w:rPr>
          <w:i/>
          <w:iCs/>
        </w:rPr>
        <w:t>Guidelines on compounding of medicines</w:t>
      </w:r>
      <w:r w:rsidRPr="00157B0A">
        <w:t xml:space="preserve"> (the guidelines) </w:t>
      </w:r>
      <w:r w:rsidR="00BB2D22">
        <w:t xml:space="preserve">last year </w:t>
      </w:r>
      <w:r w:rsidRPr="00157B0A">
        <w:t>after a</w:t>
      </w:r>
      <w:r w:rsidR="00DC55BA">
        <w:t xml:space="preserve"> period of public consultation.</w:t>
      </w:r>
      <w:r w:rsidRPr="00157B0A">
        <w:t xml:space="preserve"> </w:t>
      </w:r>
      <w:r w:rsidR="00BB2D22">
        <w:t xml:space="preserve">It </w:t>
      </w:r>
      <w:r w:rsidRPr="00157B0A">
        <w:t xml:space="preserve">has </w:t>
      </w:r>
      <w:r w:rsidR="00BB2D22">
        <w:t xml:space="preserve">now </w:t>
      </w:r>
      <w:r w:rsidRPr="00157B0A">
        <w:t xml:space="preserve">published a consultation paper </w:t>
      </w:r>
      <w:r w:rsidR="00BB2D22">
        <w:t xml:space="preserve">seeking </w:t>
      </w:r>
      <w:r w:rsidR="00BB2D22">
        <w:lastRenderedPageBreak/>
        <w:t xml:space="preserve">feedback </w:t>
      </w:r>
      <w:r w:rsidRPr="00157B0A">
        <w:t xml:space="preserve">on revisions to the guidance in the section titled </w:t>
      </w:r>
      <w:r w:rsidR="00DD605C" w:rsidRPr="00DD605C">
        <w:rPr>
          <w:bCs/>
          <w:i/>
        </w:rPr>
        <w:t>Expiry of compounded parenteral medicines</w:t>
      </w:r>
      <w:r w:rsidRPr="00157B0A">
        <w:rPr>
          <w:bCs/>
        </w:rPr>
        <w:t xml:space="preserve"> </w:t>
      </w:r>
      <w:r w:rsidR="00BB2D22">
        <w:rPr>
          <w:bCs/>
        </w:rPr>
        <w:t xml:space="preserve">of the compounding </w:t>
      </w:r>
      <w:r w:rsidRPr="00157B0A">
        <w:t xml:space="preserve">guidelines.  </w:t>
      </w:r>
    </w:p>
    <w:p w:rsidR="00167B00" w:rsidRPr="00157B0A" w:rsidRDefault="00157B0A" w:rsidP="00167B00">
      <w:pPr>
        <w:pStyle w:val="AHPRABody0"/>
        <w:spacing w:after="200"/>
      </w:pPr>
      <w:r>
        <w:t xml:space="preserve">The consultation paper and response form </w:t>
      </w:r>
      <w:r w:rsidR="00BB2D22">
        <w:t xml:space="preserve">are available </w:t>
      </w:r>
      <w:r>
        <w:t xml:space="preserve">from the Board’s </w:t>
      </w:r>
      <w:hyperlink r:id="rId8" w:history="1">
        <w:r w:rsidRPr="000734F5">
          <w:rPr>
            <w:rStyle w:val="Hyperlink"/>
          </w:rPr>
          <w:t>Current Consult</w:t>
        </w:r>
        <w:r>
          <w:rPr>
            <w:rStyle w:val="Hyperlink"/>
          </w:rPr>
          <w:t xml:space="preserve">ations </w:t>
        </w:r>
        <w:r w:rsidRPr="000734F5">
          <w:rPr>
            <w:rStyle w:val="Hyperlink"/>
          </w:rPr>
          <w:t>page</w:t>
        </w:r>
      </w:hyperlink>
      <w:r>
        <w:t xml:space="preserve"> on its website. </w:t>
      </w:r>
      <w:r w:rsidR="00167B00" w:rsidRPr="00157B0A">
        <w:t xml:space="preserve">Given the Board’s previous consultation on the complete </w:t>
      </w:r>
      <w:r w:rsidR="00BB2D22">
        <w:t xml:space="preserve">compounding </w:t>
      </w:r>
      <w:r w:rsidR="00167B00" w:rsidRPr="00157B0A">
        <w:t xml:space="preserve">guidelines, </w:t>
      </w:r>
      <w:r w:rsidR="00167B00" w:rsidRPr="00157B0A">
        <w:rPr>
          <w:bCs/>
        </w:rPr>
        <w:t xml:space="preserve">other sections </w:t>
      </w:r>
      <w:r w:rsidR="00DC55BA">
        <w:rPr>
          <w:bCs/>
        </w:rPr>
        <w:t xml:space="preserve">of the guidelines </w:t>
      </w:r>
      <w:r w:rsidR="00167B00" w:rsidRPr="00157B0A">
        <w:rPr>
          <w:bCs/>
        </w:rPr>
        <w:t>are not part of this public consultation</w:t>
      </w:r>
      <w:r w:rsidR="00167B00" w:rsidRPr="00157B0A">
        <w:t>.</w:t>
      </w:r>
    </w:p>
    <w:p w:rsidR="00A839F8" w:rsidRDefault="00157B0A" w:rsidP="004E3B5B">
      <w:pPr>
        <w:pStyle w:val="AHPRABody0"/>
        <w:spacing w:after="200"/>
      </w:pPr>
      <w:r>
        <w:t xml:space="preserve">The guidelines </w:t>
      </w:r>
      <w:r w:rsidR="00BB2D22">
        <w:t xml:space="preserve">came into effect </w:t>
      </w:r>
      <w:r>
        <w:t xml:space="preserve">on 28 April 2015 with the exception of </w:t>
      </w:r>
      <w:r>
        <w:rPr>
          <w:lang w:val="en-US"/>
        </w:rPr>
        <w:t xml:space="preserve">the </w:t>
      </w:r>
      <w:r w:rsidRPr="0001471F">
        <w:rPr>
          <w:i/>
        </w:rPr>
        <w:t>Expiry of compounded parenteral medicines</w:t>
      </w:r>
      <w:r w:rsidRPr="00BB35F0">
        <w:t xml:space="preserve"> section</w:t>
      </w:r>
      <w:r>
        <w:t xml:space="preserve"> which the Board announced was postponed</w:t>
      </w:r>
      <w:r w:rsidR="00DC55BA">
        <w:t xml:space="preserve"> to enable review and investigation of </w:t>
      </w:r>
      <w:r w:rsidRPr="00BB35F0">
        <w:t xml:space="preserve">further feedback and information </w:t>
      </w:r>
      <w:r w:rsidR="00DC55BA">
        <w:t xml:space="preserve">it received </w:t>
      </w:r>
      <w:r w:rsidRPr="00BB35F0">
        <w:t xml:space="preserve">on </w:t>
      </w:r>
      <w:r>
        <w:t>the proposed</w:t>
      </w:r>
      <w:r w:rsidRPr="00BB35F0">
        <w:t xml:space="preserve"> guidance</w:t>
      </w:r>
      <w:r>
        <w:t>.</w:t>
      </w:r>
    </w:p>
    <w:p w:rsidR="00157B0A" w:rsidRDefault="00157B0A" w:rsidP="004E3B5B">
      <w:pPr>
        <w:pStyle w:val="AHPRABody0"/>
        <w:spacing w:after="200"/>
      </w:pPr>
      <w:r>
        <w:t>The Board</w:t>
      </w:r>
      <w:r w:rsidR="00BB2D22">
        <w:t>,</w:t>
      </w:r>
      <w:r>
        <w:t xml:space="preserve"> in collaboration with the Therapeutic Goods Administration</w:t>
      </w:r>
      <w:r w:rsidRPr="00BB35F0">
        <w:t xml:space="preserve"> </w:t>
      </w:r>
      <w:r>
        <w:t>(</w:t>
      </w:r>
      <w:r w:rsidRPr="00BB35F0">
        <w:t>TGA</w:t>
      </w:r>
      <w:r>
        <w:t>)</w:t>
      </w:r>
      <w:r w:rsidR="00BB2D22">
        <w:t>,</w:t>
      </w:r>
      <w:r>
        <w:t xml:space="preserve"> subsequently held two stakeholder meetings (in Melbourne and Sydney) which were attended by stakeholders and pharmacists</w:t>
      </w:r>
      <w:r w:rsidR="00220042">
        <w:t xml:space="preserve">. All of </w:t>
      </w:r>
      <w:r>
        <w:t>who</w:t>
      </w:r>
      <w:r w:rsidR="00220042">
        <w:t>m</w:t>
      </w:r>
      <w:r>
        <w:t xml:space="preserve"> made valuable contributions to the discussion about the Board’s proposed guidance on the expiry of compounded sterile injectable medicines.</w:t>
      </w:r>
    </w:p>
    <w:p w:rsidR="00DC55BA" w:rsidRDefault="00DC55BA" w:rsidP="004E3B5B">
      <w:pPr>
        <w:pStyle w:val="AHPRABody0"/>
        <w:spacing w:after="200"/>
      </w:pPr>
      <w:r>
        <w:t xml:space="preserve">The Board in consultation with TGA has since developed revisions to the </w:t>
      </w:r>
      <w:r w:rsidRPr="0001471F">
        <w:rPr>
          <w:i/>
        </w:rPr>
        <w:t>Expiry of compounded parenteral medicines</w:t>
      </w:r>
      <w:r w:rsidRPr="00BB35F0">
        <w:t xml:space="preserve"> section</w:t>
      </w:r>
      <w:r>
        <w:t xml:space="preserve"> of the guidelines which are the subject of this current public consultation.</w:t>
      </w:r>
    </w:p>
    <w:p w:rsidR="00DC55BA" w:rsidRDefault="00DC55BA" w:rsidP="00DC55BA">
      <w:pPr>
        <w:pStyle w:val="AHPRAbody"/>
        <w:rPr>
          <w:szCs w:val="20"/>
          <w:lang w:eastAsia="en-AU"/>
        </w:rPr>
      </w:pPr>
      <w:r>
        <w:rPr>
          <w:szCs w:val="20"/>
          <w:lang w:eastAsia="en-AU"/>
        </w:rPr>
        <w:t>Consultation on the revised guidance will close on 30 March 2016 and the community, stakeholders, pharmacists and other health practitioners are welcome to make a submission.</w:t>
      </w:r>
    </w:p>
    <w:p w:rsidR="00427D75" w:rsidRPr="008360C0" w:rsidRDefault="00427D75" w:rsidP="00427D75">
      <w:pPr>
        <w:pStyle w:val="AHPRASubheading"/>
        <w:spacing w:before="0"/>
        <w:rPr>
          <w:lang w:val="en-AU"/>
        </w:rPr>
      </w:pPr>
      <w:r>
        <w:rPr>
          <w:lang w:val="en-AU"/>
        </w:rPr>
        <w:t xml:space="preserve">Renewal of registration for 2015/16 </w:t>
      </w:r>
    </w:p>
    <w:p w:rsidR="00427D75" w:rsidRDefault="00427D75" w:rsidP="00427D75">
      <w:pPr>
        <w:pStyle w:val="Default"/>
        <w:spacing w:after="200"/>
        <w:rPr>
          <w:sz w:val="20"/>
          <w:szCs w:val="20"/>
        </w:rPr>
      </w:pPr>
      <w:r>
        <w:rPr>
          <w:sz w:val="20"/>
          <w:szCs w:val="20"/>
        </w:rPr>
        <w:t xml:space="preserve">Renewal of registration was due on 30 November 2015. Pharmacists who did not renew their registration by the due date could lodge a late application (and pay a late fee) to renew during December 2015. Those who did not lodge a renewal application during this time had their registration lapse and their names were removed from the online public register.  </w:t>
      </w:r>
    </w:p>
    <w:p w:rsidR="00220042" w:rsidRDefault="00427D75" w:rsidP="00427D75">
      <w:pPr>
        <w:pStyle w:val="Default"/>
        <w:spacing w:after="200"/>
        <w:rPr>
          <w:sz w:val="20"/>
          <w:szCs w:val="20"/>
        </w:rPr>
      </w:pPr>
      <w:r>
        <w:rPr>
          <w:sz w:val="20"/>
          <w:szCs w:val="20"/>
        </w:rPr>
        <w:t xml:space="preserve">Anyone who didn’t apply to renew registration by 31 December 2015 could lodge a fast track application during January 2016. The fast track application process is now closed. </w:t>
      </w:r>
    </w:p>
    <w:p w:rsidR="00427D75" w:rsidRPr="008E675A" w:rsidRDefault="00427D75" w:rsidP="00427D75">
      <w:pPr>
        <w:pStyle w:val="Default"/>
        <w:spacing w:after="200"/>
        <w:rPr>
          <w:sz w:val="20"/>
          <w:szCs w:val="20"/>
        </w:rPr>
      </w:pPr>
      <w:r>
        <w:rPr>
          <w:sz w:val="20"/>
          <w:szCs w:val="20"/>
        </w:rPr>
        <w:t xml:space="preserve">Consequently, anyone who was registered with the Board in 2015 and wishes to practise is required to complete a new application for </w:t>
      </w:r>
      <w:r w:rsidRPr="008E675A">
        <w:rPr>
          <w:sz w:val="20"/>
          <w:szCs w:val="20"/>
        </w:rPr>
        <w:t xml:space="preserve">general registration which can be downloaded from the </w:t>
      </w:r>
      <w:r w:rsidR="00DD605C" w:rsidRPr="00DD605C">
        <w:rPr>
          <w:i/>
          <w:sz w:val="20"/>
          <w:szCs w:val="20"/>
        </w:rPr>
        <w:t>Registration</w:t>
      </w:r>
      <w:r w:rsidRPr="008E675A">
        <w:rPr>
          <w:sz w:val="20"/>
          <w:szCs w:val="20"/>
        </w:rPr>
        <w:t xml:space="preserve"> section of </w:t>
      </w:r>
      <w:hyperlink r:id="rId9" w:history="1">
        <w:r w:rsidRPr="008E675A">
          <w:rPr>
            <w:rStyle w:val="Hyperlink"/>
            <w:sz w:val="20"/>
            <w:szCs w:val="20"/>
          </w:rPr>
          <w:t>www.pharmacyboard.gov.au</w:t>
        </w:r>
      </w:hyperlink>
      <w:r>
        <w:rPr>
          <w:sz w:val="20"/>
          <w:szCs w:val="20"/>
        </w:rPr>
        <w:t>.</w:t>
      </w:r>
    </w:p>
    <w:p w:rsidR="00427D75" w:rsidRPr="008E675A" w:rsidRDefault="00427D75" w:rsidP="00427D75">
      <w:pPr>
        <w:pStyle w:val="Default"/>
        <w:spacing w:after="200"/>
        <w:rPr>
          <w:sz w:val="20"/>
          <w:szCs w:val="20"/>
        </w:rPr>
      </w:pPr>
      <w:r>
        <w:rPr>
          <w:sz w:val="20"/>
          <w:szCs w:val="20"/>
        </w:rPr>
        <w:t xml:space="preserve">Practice can only resume if the application for general registration has been processed by AHPRA, registration granted and if the applicant’s name appears on the Register of Pharmacists. A pharmacist’s </w:t>
      </w:r>
      <w:r w:rsidRPr="008E675A">
        <w:rPr>
          <w:sz w:val="20"/>
          <w:szCs w:val="20"/>
        </w:rPr>
        <w:t xml:space="preserve">registration status can be checked at the </w:t>
      </w:r>
      <w:r w:rsidR="00DD605C" w:rsidRPr="00DD605C">
        <w:rPr>
          <w:i/>
          <w:sz w:val="20"/>
          <w:szCs w:val="20"/>
        </w:rPr>
        <w:t>Registration</w:t>
      </w:r>
      <w:r w:rsidRPr="008E675A">
        <w:rPr>
          <w:sz w:val="20"/>
          <w:szCs w:val="20"/>
        </w:rPr>
        <w:t xml:space="preserve"> section of </w:t>
      </w:r>
      <w:hyperlink r:id="rId10" w:history="1">
        <w:r w:rsidRPr="008E675A">
          <w:rPr>
            <w:rStyle w:val="Hyperlink"/>
            <w:sz w:val="20"/>
            <w:szCs w:val="20"/>
          </w:rPr>
          <w:t>www.ahpra.gov.au</w:t>
        </w:r>
      </w:hyperlink>
      <w:r w:rsidRPr="008E675A">
        <w:rPr>
          <w:sz w:val="20"/>
          <w:szCs w:val="20"/>
        </w:rPr>
        <w:t>.</w:t>
      </w:r>
    </w:p>
    <w:p w:rsidR="00427D75" w:rsidRDefault="00427D75" w:rsidP="00427D75">
      <w:pPr>
        <w:pStyle w:val="AHPRASubhead"/>
        <w:spacing w:before="240"/>
        <w:rPr>
          <w:rFonts w:cs="Arial"/>
          <w:szCs w:val="20"/>
        </w:rPr>
      </w:pPr>
      <w:r>
        <w:t>Employer obligations</w:t>
      </w:r>
    </w:p>
    <w:p w:rsidR="00427D75" w:rsidRDefault="00427D75" w:rsidP="00427D75">
      <w:pPr>
        <w:pStyle w:val="AHPRABody0"/>
        <w:spacing w:after="200"/>
      </w:pPr>
      <w:r>
        <w:t>If you employ registered health practitioners, you have an important obligation to ensure that they hold current registration and that you understand your mandatory notification requirements under the National Law.</w:t>
      </w:r>
    </w:p>
    <w:p w:rsidR="00427D75" w:rsidRDefault="00427D75" w:rsidP="00427D75">
      <w:pPr>
        <w:pStyle w:val="AHPRABody0"/>
        <w:spacing w:after="200"/>
      </w:pPr>
      <w:r>
        <w:t xml:space="preserve">AHPRA has published </w:t>
      </w:r>
      <w:hyperlink r:id="rId11" w:anchor="resources" w:history="1">
        <w:r>
          <w:rPr>
            <w:rStyle w:val="Hyperlink"/>
            <w:rFonts w:eastAsiaTheme="majorEastAsia"/>
          </w:rPr>
          <w:t>resources</w:t>
        </w:r>
      </w:hyperlink>
      <w:r>
        <w:t xml:space="preserve"> to help you understand and meet your obligations, which are designed to complement your recruitment requirements and processes. These materials state exactly what your obligations are and it is important that you are familiar with them.</w:t>
      </w:r>
    </w:p>
    <w:p w:rsidR="00427D75" w:rsidRDefault="00427D75" w:rsidP="00427D75">
      <w:pPr>
        <w:pStyle w:val="AHPRASubheading"/>
      </w:pPr>
      <w:r>
        <w:t>Health practitioner regulation: Learn how you’re protected</w:t>
      </w:r>
    </w:p>
    <w:p w:rsidR="00427D75" w:rsidRDefault="00427D75" w:rsidP="00427D75">
      <w:pPr>
        <w:pStyle w:val="AHPRABody0"/>
        <w:spacing w:after="200"/>
      </w:pPr>
      <w:r>
        <w:t>A new video and an accompanying infographic explaining the Australia-wide scheme that is in place to protect members of the public was released by the Australian Health Practitioner Regulation Agency (AHPRA) in December.</w:t>
      </w:r>
    </w:p>
    <w:p w:rsidR="00427D75" w:rsidRDefault="00427D75" w:rsidP="00427D75">
      <w:pPr>
        <w:spacing w:after="200"/>
        <w:rPr>
          <w:sz w:val="20"/>
          <w:szCs w:val="20"/>
          <w:lang w:val="en-US"/>
        </w:rPr>
      </w:pPr>
      <w:r>
        <w:rPr>
          <w:sz w:val="20"/>
          <w:szCs w:val="20"/>
          <w:lang w:val="en-US"/>
        </w:rPr>
        <w:t xml:space="preserve">Both resources are available on the </w:t>
      </w:r>
      <w:hyperlink r:id="rId12" w:tgtFrame="_blank" w:history="1">
        <w:r>
          <w:rPr>
            <w:rStyle w:val="Hyperlink"/>
            <w:rFonts w:eastAsiaTheme="majorEastAsia"/>
            <w:sz w:val="20"/>
            <w:szCs w:val="20"/>
            <w:lang w:val="en-US"/>
          </w:rPr>
          <w:t>What we do</w:t>
        </w:r>
      </w:hyperlink>
      <w:r>
        <w:rPr>
          <w:sz w:val="20"/>
          <w:szCs w:val="20"/>
          <w:lang w:val="en-US"/>
        </w:rPr>
        <w:t xml:space="preserve"> page of the AHPRA website or read the </w:t>
      </w:r>
      <w:hyperlink r:id="rId13" w:history="1">
        <w:r w:rsidRPr="00427D75">
          <w:rPr>
            <w:rStyle w:val="Hyperlink"/>
            <w:sz w:val="20"/>
            <w:szCs w:val="20"/>
            <w:lang w:val="en-US"/>
          </w:rPr>
          <w:t>news item</w:t>
        </w:r>
      </w:hyperlink>
      <w:r>
        <w:rPr>
          <w:sz w:val="20"/>
          <w:szCs w:val="20"/>
          <w:lang w:val="en-US"/>
        </w:rPr>
        <w:t xml:space="preserve"> on the Board website for more information. The video can also be watched on AHPRA’s </w:t>
      </w:r>
      <w:hyperlink r:id="rId14" w:tgtFrame="_blank" w:history="1">
        <w:r>
          <w:rPr>
            <w:rStyle w:val="Hyperlink"/>
            <w:rFonts w:eastAsiaTheme="majorEastAsia"/>
            <w:sz w:val="20"/>
            <w:szCs w:val="20"/>
            <w:lang w:val="en-US"/>
          </w:rPr>
          <w:t>YouTube channel</w:t>
        </w:r>
      </w:hyperlink>
      <w:r>
        <w:rPr>
          <w:sz w:val="20"/>
          <w:szCs w:val="20"/>
          <w:lang w:val="en-US"/>
        </w:rPr>
        <w:t>.</w:t>
      </w:r>
    </w:p>
    <w:p w:rsidR="00755DC1" w:rsidRPr="001F3193" w:rsidRDefault="00755DC1" w:rsidP="00142930">
      <w:pPr>
        <w:pStyle w:val="Default"/>
        <w:spacing w:after="200"/>
        <w:rPr>
          <w:b/>
          <w:bCs/>
          <w:color w:val="008EC4"/>
          <w:sz w:val="20"/>
          <w:szCs w:val="20"/>
        </w:rPr>
      </w:pPr>
      <w:r w:rsidRPr="001F3193">
        <w:rPr>
          <w:b/>
          <w:bCs/>
          <w:color w:val="008EC4"/>
          <w:sz w:val="20"/>
          <w:szCs w:val="20"/>
        </w:rPr>
        <w:t xml:space="preserve">Further information </w:t>
      </w:r>
    </w:p>
    <w:p w:rsidR="00755DC1" w:rsidRPr="00553EAC" w:rsidRDefault="00755DC1" w:rsidP="00142930">
      <w:pPr>
        <w:pStyle w:val="AHPRAbody"/>
      </w:pPr>
      <w:r w:rsidRPr="00553EAC">
        <w:t xml:space="preserve">The Board publishes a range of information </w:t>
      </w:r>
      <w:r>
        <w:t xml:space="preserve">for pharmacists on its website at </w:t>
      </w:r>
      <w:hyperlink r:id="rId15" w:history="1">
        <w:r w:rsidRPr="00C472AE">
          <w:rPr>
            <w:rStyle w:val="Hyperlink"/>
          </w:rPr>
          <w:t>www.pharmacyboard.gov.au</w:t>
        </w:r>
      </w:hyperlink>
      <w:r>
        <w:t>.</w:t>
      </w:r>
    </w:p>
    <w:p w:rsidR="00755DC1" w:rsidRDefault="00755DC1" w:rsidP="00142930">
      <w:pPr>
        <w:pStyle w:val="AHPRAbody"/>
      </w:pPr>
      <w:r w:rsidRPr="00553EAC">
        <w:t>For more information about registration</w:t>
      </w:r>
      <w:r>
        <w:t>, notifications or other matters relevant to the National Registration and Accreditation Scheme</w:t>
      </w:r>
      <w:r w:rsidRPr="00553EAC">
        <w:t xml:space="preserve"> </w:t>
      </w:r>
      <w:r>
        <w:t xml:space="preserve">also refer to information published on </w:t>
      </w:r>
      <w:hyperlink r:id="rId16" w:history="1">
        <w:r w:rsidRPr="00C472AE">
          <w:rPr>
            <w:rStyle w:val="Hyperlink"/>
          </w:rPr>
          <w:t>www.ahpra.gov.au</w:t>
        </w:r>
      </w:hyperlink>
      <w:r>
        <w:t xml:space="preserve"> or s</w:t>
      </w:r>
      <w:r w:rsidRPr="00553EAC">
        <w:t xml:space="preserve">end an </w:t>
      </w:r>
      <w:hyperlink r:id="rId17" w:anchor="Webenquiryform" w:history="1">
        <w:r w:rsidRPr="00553EAC">
          <w:rPr>
            <w:rStyle w:val="Hyperlink"/>
          </w:rPr>
          <w:t>online enquiry form</w:t>
        </w:r>
      </w:hyperlink>
      <w:r w:rsidRPr="00553EAC">
        <w:rPr>
          <w:color w:val="0000FF"/>
          <w:u w:val="single"/>
        </w:rPr>
        <w:t xml:space="preserve"> </w:t>
      </w:r>
      <w:r w:rsidRPr="00553EAC">
        <w:t>or contact AHPRA on 1300 419 495.</w:t>
      </w:r>
      <w:r>
        <w:t xml:space="preserve"> </w:t>
      </w:r>
    </w:p>
    <w:p w:rsidR="00EF7BF6" w:rsidRDefault="00EF7BF6" w:rsidP="00EF7BF6">
      <w:pPr>
        <w:spacing w:after="120"/>
        <w:contextualSpacing/>
        <w:rPr>
          <w:sz w:val="20"/>
          <w:szCs w:val="20"/>
          <w:lang w:val="en-US"/>
        </w:rPr>
      </w:pPr>
    </w:p>
    <w:p w:rsidR="00755DC1" w:rsidRPr="001B3F78" w:rsidRDefault="00755DC1" w:rsidP="00EF7BF6">
      <w:pPr>
        <w:spacing w:after="120"/>
        <w:contextualSpacing/>
        <w:rPr>
          <w:sz w:val="20"/>
          <w:szCs w:val="20"/>
          <w:lang w:val="en-US"/>
        </w:rPr>
      </w:pPr>
      <w:r>
        <w:rPr>
          <w:sz w:val="20"/>
          <w:szCs w:val="20"/>
          <w:lang w:val="en-US"/>
        </w:rPr>
        <w:t>William Kelly</w:t>
      </w:r>
    </w:p>
    <w:p w:rsidR="00755DC1" w:rsidRPr="001B3F78" w:rsidRDefault="00755DC1" w:rsidP="00EF7BF6">
      <w:pPr>
        <w:spacing w:after="120"/>
        <w:contextualSpacing/>
        <w:rPr>
          <w:sz w:val="20"/>
          <w:szCs w:val="20"/>
          <w:lang w:val="en-US"/>
        </w:rPr>
      </w:pPr>
      <w:r w:rsidRPr="001B3F78">
        <w:rPr>
          <w:sz w:val="20"/>
          <w:szCs w:val="20"/>
          <w:lang w:val="en-US"/>
        </w:rPr>
        <w:t>Chair</w:t>
      </w:r>
      <w:r>
        <w:rPr>
          <w:sz w:val="20"/>
          <w:szCs w:val="20"/>
          <w:lang w:val="en-US"/>
        </w:rPr>
        <w:t>, Pharmacy Board of Australia</w:t>
      </w:r>
    </w:p>
    <w:p w:rsidR="00755DC1" w:rsidRDefault="001449F4" w:rsidP="00EF7BF6">
      <w:pPr>
        <w:spacing w:after="120"/>
        <w:rPr>
          <w:sz w:val="20"/>
          <w:szCs w:val="20"/>
          <w:lang w:val="en-US"/>
        </w:rPr>
      </w:pPr>
      <w:r>
        <w:rPr>
          <w:sz w:val="20"/>
          <w:szCs w:val="20"/>
          <w:lang w:val="en-US"/>
        </w:rPr>
        <w:t>3</w:t>
      </w:r>
      <w:r w:rsidR="00C96C59">
        <w:rPr>
          <w:sz w:val="20"/>
          <w:szCs w:val="20"/>
          <w:lang w:val="en-US"/>
        </w:rPr>
        <w:t xml:space="preserve"> February 2016</w:t>
      </w:r>
    </w:p>
    <w:p w:rsidR="00EF7BF6" w:rsidRDefault="00EF7BF6" w:rsidP="00EF7BF6">
      <w:pPr>
        <w:spacing w:after="120"/>
        <w:rPr>
          <w:sz w:val="20"/>
          <w:szCs w:val="20"/>
          <w:lang w:val="en-US"/>
        </w:rPr>
      </w:pPr>
    </w:p>
    <w:p w:rsidR="00755DC1" w:rsidRPr="00E97FA1" w:rsidRDefault="001F393B" w:rsidP="00EF7BF6">
      <w:pPr>
        <w:pStyle w:val="AHPRAHeadline"/>
        <w:spacing w:after="120"/>
        <w:rPr>
          <w:i/>
          <w:color w:val="auto"/>
          <w:sz w:val="18"/>
          <w:szCs w:val="18"/>
        </w:rPr>
      </w:pPr>
      <w:hyperlink r:id="rId18" w:history="1">
        <w:r w:rsidR="00755DC1" w:rsidRPr="00E97FA1">
          <w:rPr>
            <w:rStyle w:val="Hyperlink"/>
            <w:i/>
            <w:sz w:val="18"/>
            <w:szCs w:val="18"/>
          </w:rPr>
          <w:t>The Pharmacy Board of Australia</w:t>
        </w:r>
      </w:hyperlink>
      <w:r w:rsidR="00755DC1" w:rsidRPr="00E97FA1">
        <w:rPr>
          <w:i/>
          <w:color w:val="auto"/>
          <w:sz w:val="18"/>
          <w:szCs w:val="18"/>
        </w:rPr>
        <w:t xml:space="preserve"> is the regulator of pharmacists in Australia and acts to protect the public by ensuring that suitably qualified and competent pharmacists are registered. The Board is responsible for developing registration standards, codes and guidelines for pharmacists and managing notifications (complaints)* about pharmacists and pharmacy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pharmacists in the public interest is underpinned by </w:t>
      </w:r>
      <w:hyperlink r:id="rId19" w:history="1">
        <w:r w:rsidR="00755DC1" w:rsidRPr="00E97FA1">
          <w:rPr>
            <w:rStyle w:val="Hyperlink"/>
            <w:i/>
            <w:sz w:val="18"/>
            <w:szCs w:val="18"/>
          </w:rPr>
          <w:t>regulatory principles</w:t>
        </w:r>
      </w:hyperlink>
      <w:r w:rsidR="00755DC1" w:rsidRPr="00E97FA1">
        <w:rPr>
          <w:i/>
          <w:color w:val="auto"/>
          <w:sz w:val="18"/>
          <w:szCs w:val="18"/>
        </w:rPr>
        <w:t>, which encourage a responsive, risk-based approach to regulation.</w:t>
      </w:r>
    </w:p>
    <w:p w:rsidR="00E77E23" w:rsidRPr="000E7E28" w:rsidRDefault="00755DC1" w:rsidP="00EF7BF6">
      <w:pPr>
        <w:pStyle w:val="AHPRAHeadline"/>
        <w:spacing w:after="120"/>
      </w:pPr>
      <w:r w:rsidRPr="00E97FA1">
        <w:rPr>
          <w:i/>
          <w:iCs/>
          <w:color w:val="auto"/>
          <w:sz w:val="18"/>
          <w:szCs w:val="18"/>
        </w:rPr>
        <w:t xml:space="preserve">*Except in NSW and QLD </w:t>
      </w:r>
      <w:r>
        <w:rPr>
          <w:i/>
          <w:iCs/>
          <w:color w:val="auto"/>
          <w:sz w:val="18"/>
          <w:szCs w:val="18"/>
        </w:rPr>
        <w:t xml:space="preserve">which have co-regulatory arrangements. </w:t>
      </w:r>
      <w:r w:rsidR="000F5D90" w:rsidRPr="000E7E28">
        <w:tab/>
      </w:r>
    </w:p>
    <w:sectPr w:rsidR="00E77E23" w:rsidRPr="000E7E28" w:rsidSect="008D4206">
      <w:headerReference w:type="default" r:id="rId20"/>
      <w:footerReference w:type="even" r:id="rId21"/>
      <w:footerReference w:type="default" r:id="rId22"/>
      <w:headerReference w:type="first" r:id="rId23"/>
      <w:footerReference w:type="first" r:id="rId24"/>
      <w:pgSz w:w="11900" w:h="16840"/>
      <w:pgMar w:top="1819" w:right="1835" w:bottom="1134" w:left="1843" w:header="1134" w:footer="11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3BB" w:rsidRDefault="004573BB" w:rsidP="00FC2881">
      <w:r>
        <w:separator/>
      </w:r>
    </w:p>
    <w:p w:rsidR="004573BB" w:rsidRDefault="004573BB"/>
  </w:endnote>
  <w:endnote w:type="continuationSeparator" w:id="0">
    <w:p w:rsidR="004573BB" w:rsidRDefault="004573BB" w:rsidP="00FC2881">
      <w:r>
        <w:continuationSeparator/>
      </w:r>
    </w:p>
    <w:p w:rsidR="004573BB" w:rsidRDefault="00457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BB" w:rsidRDefault="00E97242" w:rsidP="00FC2881">
    <w:pPr>
      <w:pStyle w:val="AHPRAfootnote"/>
      <w:framePr w:wrap="around" w:vAnchor="text" w:hAnchor="margin" w:xAlign="right" w:y="1"/>
    </w:pPr>
    <w:r>
      <w:fldChar w:fldCharType="begin"/>
    </w:r>
    <w:r w:rsidR="004573BB">
      <w:instrText xml:space="preserve">PAGE  </w:instrText>
    </w:r>
    <w:r>
      <w:fldChar w:fldCharType="end"/>
    </w:r>
  </w:p>
  <w:p w:rsidR="004573BB" w:rsidRDefault="004573BB" w:rsidP="00FC2881">
    <w:pPr>
      <w:pStyle w:val="AHPRAfootnote"/>
      <w:ind w:right="360"/>
    </w:pPr>
  </w:p>
  <w:p w:rsidR="004573BB" w:rsidRDefault="004573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BB" w:rsidRPr="000E7E28" w:rsidRDefault="001F393B" w:rsidP="000E7E28">
    <w:pPr>
      <w:pStyle w:val="AHPRApagenumber"/>
    </w:pPr>
    <w:sdt>
      <w:sdtPr>
        <w:id w:val="18143575"/>
        <w:docPartObj>
          <w:docPartGallery w:val="Page Numbers (Top of Page)"/>
          <w:docPartUnique/>
        </w:docPartObj>
      </w:sdtPr>
      <w:sdtEndPr/>
      <w:sdtContent>
        <w:r w:rsidR="004573BB" w:rsidRPr="000E7E28">
          <w:t xml:space="preserve">Page </w:t>
        </w:r>
        <w:r>
          <w:fldChar w:fldCharType="begin"/>
        </w:r>
        <w:r>
          <w:instrText xml:space="preserve"> PAGE </w:instrText>
        </w:r>
        <w:r>
          <w:fldChar w:fldCharType="separate"/>
        </w:r>
        <w:r>
          <w:rPr>
            <w:noProof/>
          </w:rPr>
          <w:t>2</w:t>
        </w:r>
        <w:r>
          <w:rPr>
            <w:noProof/>
          </w:rPr>
          <w:fldChar w:fldCharType="end"/>
        </w:r>
        <w:r w:rsidR="004573BB"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BB" w:rsidRPr="00E77E23" w:rsidRDefault="004573BB" w:rsidP="00AB7F5D">
    <w:pPr>
      <w:pStyle w:val="AHPRAfirstpagefooter"/>
    </w:pPr>
    <w:r>
      <w:rPr>
        <w:color w:val="007DC3"/>
      </w:rPr>
      <w:t>Pharmacy</w:t>
    </w:r>
    <w:r w:rsidRPr="00E77E23">
      <w:t xml:space="preserve"> </w:t>
    </w:r>
    <w:r>
      <w:t>Board of Australia</w:t>
    </w:r>
  </w:p>
  <w:p w:rsidR="004573BB" w:rsidRDefault="004573BB" w:rsidP="00AB7F5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F358B9">
      <w:t>pharmacyboard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3BB" w:rsidRDefault="004573BB" w:rsidP="000E7E28">
      <w:r>
        <w:separator/>
      </w:r>
    </w:p>
  </w:footnote>
  <w:footnote w:type="continuationSeparator" w:id="0">
    <w:p w:rsidR="004573BB" w:rsidRDefault="004573BB" w:rsidP="00FC2881">
      <w:r>
        <w:continuationSeparator/>
      </w:r>
    </w:p>
    <w:p w:rsidR="004573BB" w:rsidRDefault="004573BB"/>
  </w:footnote>
  <w:footnote w:type="continuationNotice" w:id="1">
    <w:p w:rsidR="004573BB" w:rsidRDefault="004573BB"/>
  </w:footnote>
  <w:footnote w:id="2">
    <w:p w:rsidR="004573BB" w:rsidRPr="005632A0" w:rsidRDefault="004573BB">
      <w:pPr>
        <w:pStyle w:val="FootnoteText"/>
        <w:rPr>
          <w:lang w:val="en-AU"/>
        </w:rPr>
      </w:pPr>
      <w:r>
        <w:rPr>
          <w:rStyle w:val="FootnoteReference"/>
        </w:rPr>
        <w:footnoteRef/>
      </w:r>
      <w:r>
        <w:t xml:space="preserve"> </w:t>
      </w:r>
      <w:r w:rsidRPr="008E4621">
        <w:rPr>
          <w:rFonts w:cs="Arial"/>
          <w:sz w:val="16"/>
        </w:rPr>
        <w:t>The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BB" w:rsidRPr="00315933" w:rsidRDefault="004573BB" w:rsidP="001F25BA">
    <w:pPr>
      <w:ind w:right="-567"/>
    </w:pPr>
  </w:p>
  <w:p w:rsidR="004573BB" w:rsidRDefault="004573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BB" w:rsidRDefault="004573BB" w:rsidP="00E844A0">
    <w:r w:rsidRPr="00AB7F5D">
      <w:rPr>
        <w:noProof/>
      </w:rPr>
      <w:drawing>
        <wp:anchor distT="0" distB="0" distL="114300" distR="114300" simplePos="0" relativeHeight="251659264" behindDoc="0" locked="0" layoutInCell="1" allowOverlap="1">
          <wp:simplePos x="0" y="0"/>
          <wp:positionH relativeFrom="margin">
            <wp:posOffset>4657014</wp:posOffset>
          </wp:positionH>
          <wp:positionV relativeFrom="margin">
            <wp:posOffset>-1559382</wp:posOffset>
          </wp:positionV>
          <wp:extent cx="1261110" cy="1316736"/>
          <wp:effectExtent l="0" t="0" r="0" b="0"/>
          <wp:wrapSquare wrapText="bothSides"/>
          <wp:docPr id="12" name="Picture 7" descr="Pharmac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PharmacyBoardofAustralia_SPOT.jpg"/>
                  <pic:cNvPicPr/>
                </pic:nvPicPr>
                <pic:blipFill>
                  <a:blip r:embed="rId1"/>
                  <a:stretch>
                    <a:fillRect/>
                  </a:stretch>
                </pic:blipFill>
                <pic:spPr>
                  <a:xfrm>
                    <a:off x="0" y="0"/>
                    <a:ext cx="1261110" cy="1316355"/>
                  </a:xfrm>
                  <a:prstGeom prst="rect">
                    <a:avLst/>
                  </a:prstGeom>
                </pic:spPr>
              </pic:pic>
            </a:graphicData>
          </a:graphic>
        </wp:anchor>
      </w:drawing>
    </w:r>
  </w:p>
  <w:p w:rsidR="004573BB" w:rsidRDefault="004573BB" w:rsidP="00E844A0"/>
  <w:p w:rsidR="004573BB" w:rsidRDefault="004573BB" w:rsidP="00E844A0"/>
  <w:p w:rsidR="004573BB" w:rsidRDefault="004573BB" w:rsidP="00E844A0"/>
  <w:p w:rsidR="004573BB" w:rsidRDefault="004573BB" w:rsidP="00E844A0"/>
  <w:p w:rsidR="004573BB" w:rsidRDefault="004573BB" w:rsidP="009226B7">
    <w:pPr>
      <w:tabs>
        <w:tab w:val="left" w:pos="3667"/>
      </w:tabs>
    </w:pPr>
    <w:r>
      <w:tab/>
    </w:r>
  </w:p>
  <w:p w:rsidR="004573BB" w:rsidRDefault="004573BB"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21F6E07"/>
    <w:multiLevelType w:val="hybridMultilevel"/>
    <w:tmpl w:val="BF2C9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9FF"/>
    <w:multiLevelType w:val="multilevel"/>
    <w:tmpl w:val="BE20683A"/>
    <w:numStyleLink w:val="AHPRANumberedheadinglist"/>
  </w:abstractNum>
  <w:abstractNum w:abstractNumId="7" w15:restartNumberingAfterBreak="0">
    <w:nsid w:val="18A76A51"/>
    <w:multiLevelType w:val="hybridMultilevel"/>
    <w:tmpl w:val="F806C5A8"/>
    <w:lvl w:ilvl="0" w:tplc="04090001">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21B20"/>
    <w:multiLevelType w:val="hybridMultilevel"/>
    <w:tmpl w:val="C576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290616C5"/>
    <w:multiLevelType w:val="multilevel"/>
    <w:tmpl w:val="5FB871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51B68"/>
    <w:multiLevelType w:val="hybridMultilevel"/>
    <w:tmpl w:val="52DC2C60"/>
    <w:lvl w:ilvl="0" w:tplc="04090001">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1DF55AD"/>
    <w:multiLevelType w:val="hybridMultilevel"/>
    <w:tmpl w:val="0E843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D1745"/>
    <w:multiLevelType w:val="multilevel"/>
    <w:tmpl w:val="EE88592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4433A"/>
    <w:multiLevelType w:val="multilevel"/>
    <w:tmpl w:val="C4183F12"/>
    <w:numStyleLink w:val="AHPRANumberedlist"/>
  </w:abstractNum>
  <w:abstractNum w:abstractNumId="18" w15:restartNumberingAfterBreak="0">
    <w:nsid w:val="57C73319"/>
    <w:multiLevelType w:val="hybridMultilevel"/>
    <w:tmpl w:val="EF8696AE"/>
    <w:lvl w:ilvl="0" w:tplc="04090001">
      <w:start w:val="1"/>
      <w:numFmt w:val="bullet"/>
      <w:lvlText w:val=""/>
      <w:lvlJc w:val="left"/>
      <w:pPr>
        <w:ind w:left="720" w:hanging="360"/>
      </w:pPr>
      <w:rPr>
        <w:rFonts w:ascii="Symbol" w:hAnsi="Symbol" w:hint="default"/>
      </w:rPr>
    </w:lvl>
    <w:lvl w:ilvl="1" w:tplc="B1860B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42EA7"/>
    <w:multiLevelType w:val="multilevel"/>
    <w:tmpl w:val="CF9C4FA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F67EC5"/>
    <w:multiLevelType w:val="hybridMultilevel"/>
    <w:tmpl w:val="2B5A7B4C"/>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C317FD"/>
    <w:multiLevelType w:val="multilevel"/>
    <w:tmpl w:val="FE7ED422"/>
    <w:lvl w:ilvl="0">
      <w:start w:val="1"/>
      <w:numFmt w:val="bullet"/>
      <w:lvlText w:val=""/>
      <w:lvlJc w:val="left"/>
      <w:pPr>
        <w:ind w:left="717" w:hanging="360"/>
      </w:pPr>
      <w:rPr>
        <w:rFonts w:ascii="Symbol" w:hAnsi="Symbol"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4" w15:restartNumberingAfterBreak="0">
    <w:nsid w:val="73583F52"/>
    <w:multiLevelType w:val="hybridMultilevel"/>
    <w:tmpl w:val="BB4E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154B0"/>
    <w:multiLevelType w:val="multilevel"/>
    <w:tmpl w:val="C4183F12"/>
    <w:numStyleLink w:val="AHPRANumberedlist"/>
  </w:abstractNum>
  <w:abstractNum w:abstractNumId="2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31660"/>
    <w:multiLevelType w:val="multilevel"/>
    <w:tmpl w:val="C4183F12"/>
    <w:numStyleLink w:val="AHPRANumberedlist"/>
  </w:abstractNum>
  <w:num w:numId="1">
    <w:abstractNumId w:val="22"/>
  </w:num>
  <w:num w:numId="2">
    <w:abstractNumId w:val="15"/>
  </w:num>
  <w:num w:numId="3">
    <w:abstractNumId w:val="1"/>
  </w:num>
  <w:num w:numId="4">
    <w:abstractNumId w:val="4"/>
  </w:num>
  <w:num w:numId="5">
    <w:abstractNumId w:val="6"/>
  </w:num>
  <w:num w:numId="6">
    <w:abstractNumId w:val="9"/>
  </w:num>
  <w:num w:numId="7">
    <w:abstractNumId w:val="0"/>
  </w:num>
  <w:num w:numId="8">
    <w:abstractNumId w:val="11"/>
  </w:num>
  <w:num w:numId="9">
    <w:abstractNumId w:val="26"/>
  </w:num>
  <w:num w:numId="10">
    <w:abstractNumId w:val="17"/>
  </w:num>
  <w:num w:numId="11">
    <w:abstractNumId w:val="3"/>
  </w:num>
  <w:num w:numId="12">
    <w:abstractNumId w:val="25"/>
  </w:num>
  <w:num w:numId="13">
    <w:abstractNumId w:val="27"/>
  </w:num>
  <w:num w:numId="14">
    <w:abstractNumId w:val="21"/>
  </w:num>
  <w:num w:numId="15">
    <w:abstractNumId w:val="5"/>
  </w:num>
  <w:num w:numId="16">
    <w:abstractNumId w:val="24"/>
  </w:num>
  <w:num w:numId="17">
    <w:abstractNumId w:val="12"/>
  </w:num>
  <w:num w:numId="18">
    <w:abstractNumId w:val="18"/>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 w:numId="22">
    <w:abstractNumId w:val="7"/>
  </w:num>
  <w:num w:numId="23">
    <w:abstractNumId w:val="20"/>
  </w:num>
  <w:num w:numId="24">
    <w:abstractNumId w:val="10"/>
  </w:num>
  <w:num w:numId="25">
    <w:abstractNumId w:val="16"/>
  </w:num>
  <w:num w:numId="26">
    <w:abstractNumId w:val="14"/>
  </w:num>
  <w:num w:numId="27">
    <w:abstractNumId w:val="19"/>
  </w:num>
  <w:num w:numId="2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5485D"/>
    <w:rsid w:val="00000033"/>
    <w:rsid w:val="00000FA6"/>
    <w:rsid w:val="00003949"/>
    <w:rsid w:val="00006922"/>
    <w:rsid w:val="000334D7"/>
    <w:rsid w:val="00054344"/>
    <w:rsid w:val="00071439"/>
    <w:rsid w:val="000945FB"/>
    <w:rsid w:val="00095E79"/>
    <w:rsid w:val="000A0333"/>
    <w:rsid w:val="000A35A6"/>
    <w:rsid w:val="000A6BF7"/>
    <w:rsid w:val="000A7E95"/>
    <w:rsid w:val="000C1AB8"/>
    <w:rsid w:val="000C5F59"/>
    <w:rsid w:val="000D7866"/>
    <w:rsid w:val="000E7E28"/>
    <w:rsid w:val="000F5D90"/>
    <w:rsid w:val="0010139F"/>
    <w:rsid w:val="00136D9A"/>
    <w:rsid w:val="00136FE7"/>
    <w:rsid w:val="00142930"/>
    <w:rsid w:val="00143CC2"/>
    <w:rsid w:val="001449F4"/>
    <w:rsid w:val="00144DEF"/>
    <w:rsid w:val="001506FE"/>
    <w:rsid w:val="001575FF"/>
    <w:rsid w:val="00157B0A"/>
    <w:rsid w:val="00167B00"/>
    <w:rsid w:val="00176095"/>
    <w:rsid w:val="001765D0"/>
    <w:rsid w:val="00180834"/>
    <w:rsid w:val="001829D0"/>
    <w:rsid w:val="001A2917"/>
    <w:rsid w:val="001C425C"/>
    <w:rsid w:val="001D0774"/>
    <w:rsid w:val="001E19F7"/>
    <w:rsid w:val="001E1E31"/>
    <w:rsid w:val="001E2849"/>
    <w:rsid w:val="001E4A94"/>
    <w:rsid w:val="001E5621"/>
    <w:rsid w:val="001E77B0"/>
    <w:rsid w:val="001F0AFD"/>
    <w:rsid w:val="001F179D"/>
    <w:rsid w:val="001F25BA"/>
    <w:rsid w:val="001F393B"/>
    <w:rsid w:val="002173CC"/>
    <w:rsid w:val="00220042"/>
    <w:rsid w:val="00220A3B"/>
    <w:rsid w:val="00224708"/>
    <w:rsid w:val="00230645"/>
    <w:rsid w:val="00235305"/>
    <w:rsid w:val="0024145A"/>
    <w:rsid w:val="0025485D"/>
    <w:rsid w:val="00264622"/>
    <w:rsid w:val="0028013F"/>
    <w:rsid w:val="002874B2"/>
    <w:rsid w:val="00295B44"/>
    <w:rsid w:val="00297274"/>
    <w:rsid w:val="002A7DC2"/>
    <w:rsid w:val="002B2D48"/>
    <w:rsid w:val="002C08FB"/>
    <w:rsid w:val="002C34EA"/>
    <w:rsid w:val="002D4B7A"/>
    <w:rsid w:val="00303BE1"/>
    <w:rsid w:val="00305AFC"/>
    <w:rsid w:val="00313784"/>
    <w:rsid w:val="003354E4"/>
    <w:rsid w:val="0034108D"/>
    <w:rsid w:val="00353D8A"/>
    <w:rsid w:val="00357028"/>
    <w:rsid w:val="00363D1A"/>
    <w:rsid w:val="0038620E"/>
    <w:rsid w:val="0039141B"/>
    <w:rsid w:val="003A18C5"/>
    <w:rsid w:val="003B68F7"/>
    <w:rsid w:val="003C7919"/>
    <w:rsid w:val="003D6DBD"/>
    <w:rsid w:val="003E00B5"/>
    <w:rsid w:val="003E3268"/>
    <w:rsid w:val="003E5071"/>
    <w:rsid w:val="003F2F06"/>
    <w:rsid w:val="00405C0A"/>
    <w:rsid w:val="00414F2C"/>
    <w:rsid w:val="00421184"/>
    <w:rsid w:val="00427D75"/>
    <w:rsid w:val="00450B34"/>
    <w:rsid w:val="004573BB"/>
    <w:rsid w:val="004606A7"/>
    <w:rsid w:val="00461C91"/>
    <w:rsid w:val="00472683"/>
    <w:rsid w:val="00472FB6"/>
    <w:rsid w:val="0047542D"/>
    <w:rsid w:val="004A5E5D"/>
    <w:rsid w:val="004B747B"/>
    <w:rsid w:val="004D7537"/>
    <w:rsid w:val="004E3B5B"/>
    <w:rsid w:val="004F5C05"/>
    <w:rsid w:val="005315D9"/>
    <w:rsid w:val="00536208"/>
    <w:rsid w:val="0053749F"/>
    <w:rsid w:val="00546C3A"/>
    <w:rsid w:val="0055204A"/>
    <w:rsid w:val="00553A4C"/>
    <w:rsid w:val="00554335"/>
    <w:rsid w:val="005565CE"/>
    <w:rsid w:val="005632A0"/>
    <w:rsid w:val="00564090"/>
    <w:rsid w:val="005708AE"/>
    <w:rsid w:val="0058028E"/>
    <w:rsid w:val="00585CC0"/>
    <w:rsid w:val="00593C13"/>
    <w:rsid w:val="005A0FA9"/>
    <w:rsid w:val="005C5932"/>
    <w:rsid w:val="005C6817"/>
    <w:rsid w:val="005E2917"/>
    <w:rsid w:val="005F4A44"/>
    <w:rsid w:val="00616043"/>
    <w:rsid w:val="006277AF"/>
    <w:rsid w:val="00640B2C"/>
    <w:rsid w:val="00660D4B"/>
    <w:rsid w:val="00667CAD"/>
    <w:rsid w:val="00681D5E"/>
    <w:rsid w:val="00686F30"/>
    <w:rsid w:val="0069195D"/>
    <w:rsid w:val="00692B04"/>
    <w:rsid w:val="006C0257"/>
    <w:rsid w:val="006C0E29"/>
    <w:rsid w:val="006C68F6"/>
    <w:rsid w:val="006D27C7"/>
    <w:rsid w:val="006D30FE"/>
    <w:rsid w:val="006D3757"/>
    <w:rsid w:val="006F7348"/>
    <w:rsid w:val="006F796D"/>
    <w:rsid w:val="0070155F"/>
    <w:rsid w:val="00707629"/>
    <w:rsid w:val="0070795B"/>
    <w:rsid w:val="0072156D"/>
    <w:rsid w:val="007235F6"/>
    <w:rsid w:val="007372A4"/>
    <w:rsid w:val="00740D27"/>
    <w:rsid w:val="00741B04"/>
    <w:rsid w:val="007432A4"/>
    <w:rsid w:val="00755DC1"/>
    <w:rsid w:val="0076115C"/>
    <w:rsid w:val="007664F3"/>
    <w:rsid w:val="0079197C"/>
    <w:rsid w:val="007A0A32"/>
    <w:rsid w:val="007A21A0"/>
    <w:rsid w:val="007A35B9"/>
    <w:rsid w:val="007B77D6"/>
    <w:rsid w:val="007C0B6E"/>
    <w:rsid w:val="007C333B"/>
    <w:rsid w:val="007C3766"/>
    <w:rsid w:val="007D0B74"/>
    <w:rsid w:val="007D4836"/>
    <w:rsid w:val="007E2C84"/>
    <w:rsid w:val="007E3545"/>
    <w:rsid w:val="007F0095"/>
    <w:rsid w:val="00824427"/>
    <w:rsid w:val="008338F7"/>
    <w:rsid w:val="00836397"/>
    <w:rsid w:val="00845054"/>
    <w:rsid w:val="00845D7B"/>
    <w:rsid w:val="00852D1C"/>
    <w:rsid w:val="00856147"/>
    <w:rsid w:val="00860F40"/>
    <w:rsid w:val="008615C9"/>
    <w:rsid w:val="00864020"/>
    <w:rsid w:val="00877659"/>
    <w:rsid w:val="00892932"/>
    <w:rsid w:val="00894DD0"/>
    <w:rsid w:val="008979D5"/>
    <w:rsid w:val="008A4C3B"/>
    <w:rsid w:val="008B2AD7"/>
    <w:rsid w:val="008B7068"/>
    <w:rsid w:val="008D4206"/>
    <w:rsid w:val="008D6B7E"/>
    <w:rsid w:val="008D7845"/>
    <w:rsid w:val="008E6AA0"/>
    <w:rsid w:val="008F0D30"/>
    <w:rsid w:val="009226B7"/>
    <w:rsid w:val="00923B23"/>
    <w:rsid w:val="00937ED0"/>
    <w:rsid w:val="00952797"/>
    <w:rsid w:val="0097049B"/>
    <w:rsid w:val="009777D3"/>
    <w:rsid w:val="009859E6"/>
    <w:rsid w:val="00996BFC"/>
    <w:rsid w:val="009A0A5D"/>
    <w:rsid w:val="009C0EBE"/>
    <w:rsid w:val="009C6933"/>
    <w:rsid w:val="009E1A11"/>
    <w:rsid w:val="009E38C9"/>
    <w:rsid w:val="009E7EA1"/>
    <w:rsid w:val="00A04C7A"/>
    <w:rsid w:val="00A058E5"/>
    <w:rsid w:val="00A07582"/>
    <w:rsid w:val="00A10C1A"/>
    <w:rsid w:val="00A2072E"/>
    <w:rsid w:val="00A237BB"/>
    <w:rsid w:val="00A30BA4"/>
    <w:rsid w:val="00A33009"/>
    <w:rsid w:val="00A509AB"/>
    <w:rsid w:val="00A56C8F"/>
    <w:rsid w:val="00A70173"/>
    <w:rsid w:val="00A71C44"/>
    <w:rsid w:val="00A73479"/>
    <w:rsid w:val="00A74755"/>
    <w:rsid w:val="00A82078"/>
    <w:rsid w:val="00A838C8"/>
    <w:rsid w:val="00A839F8"/>
    <w:rsid w:val="00A91C42"/>
    <w:rsid w:val="00A925A4"/>
    <w:rsid w:val="00A93E8C"/>
    <w:rsid w:val="00A9516B"/>
    <w:rsid w:val="00A9780A"/>
    <w:rsid w:val="00AA00AF"/>
    <w:rsid w:val="00AA10A8"/>
    <w:rsid w:val="00AA2FC9"/>
    <w:rsid w:val="00AB283D"/>
    <w:rsid w:val="00AB7F5D"/>
    <w:rsid w:val="00AD312E"/>
    <w:rsid w:val="00AD4B09"/>
    <w:rsid w:val="00AE3EAF"/>
    <w:rsid w:val="00AE730F"/>
    <w:rsid w:val="00B024B0"/>
    <w:rsid w:val="00B34EDA"/>
    <w:rsid w:val="00B40CD2"/>
    <w:rsid w:val="00B41762"/>
    <w:rsid w:val="00B51748"/>
    <w:rsid w:val="00B57198"/>
    <w:rsid w:val="00B8203B"/>
    <w:rsid w:val="00B85023"/>
    <w:rsid w:val="00BA2456"/>
    <w:rsid w:val="00BA261B"/>
    <w:rsid w:val="00BA469B"/>
    <w:rsid w:val="00BA7E28"/>
    <w:rsid w:val="00BB2D22"/>
    <w:rsid w:val="00BB4A5B"/>
    <w:rsid w:val="00BC5E94"/>
    <w:rsid w:val="00BF2534"/>
    <w:rsid w:val="00BF79DC"/>
    <w:rsid w:val="00C125C2"/>
    <w:rsid w:val="00C35DE1"/>
    <w:rsid w:val="00C3795C"/>
    <w:rsid w:val="00C524AA"/>
    <w:rsid w:val="00C54689"/>
    <w:rsid w:val="00C81B3A"/>
    <w:rsid w:val="00C96C59"/>
    <w:rsid w:val="00CA1F26"/>
    <w:rsid w:val="00CB26F9"/>
    <w:rsid w:val="00CB6C08"/>
    <w:rsid w:val="00CD0DCA"/>
    <w:rsid w:val="00CD7EB8"/>
    <w:rsid w:val="00CF279D"/>
    <w:rsid w:val="00D03E8A"/>
    <w:rsid w:val="00D1140F"/>
    <w:rsid w:val="00D12F61"/>
    <w:rsid w:val="00D1550C"/>
    <w:rsid w:val="00D201C6"/>
    <w:rsid w:val="00D27374"/>
    <w:rsid w:val="00D638E0"/>
    <w:rsid w:val="00D716BA"/>
    <w:rsid w:val="00D8404D"/>
    <w:rsid w:val="00D8602A"/>
    <w:rsid w:val="00DA0A4E"/>
    <w:rsid w:val="00DA69A8"/>
    <w:rsid w:val="00DC2952"/>
    <w:rsid w:val="00DC55BA"/>
    <w:rsid w:val="00DD605C"/>
    <w:rsid w:val="00DE3B70"/>
    <w:rsid w:val="00DE5265"/>
    <w:rsid w:val="00DE79A1"/>
    <w:rsid w:val="00DF1AB7"/>
    <w:rsid w:val="00E07C02"/>
    <w:rsid w:val="00E1254E"/>
    <w:rsid w:val="00E12B06"/>
    <w:rsid w:val="00E15BF6"/>
    <w:rsid w:val="00E301AF"/>
    <w:rsid w:val="00E33240"/>
    <w:rsid w:val="00E6550F"/>
    <w:rsid w:val="00E71CB9"/>
    <w:rsid w:val="00E7357F"/>
    <w:rsid w:val="00E73698"/>
    <w:rsid w:val="00E736B1"/>
    <w:rsid w:val="00E74923"/>
    <w:rsid w:val="00E77E23"/>
    <w:rsid w:val="00E8251C"/>
    <w:rsid w:val="00E844A0"/>
    <w:rsid w:val="00E97242"/>
    <w:rsid w:val="00ED6266"/>
    <w:rsid w:val="00EF7BF6"/>
    <w:rsid w:val="00F13ED2"/>
    <w:rsid w:val="00F278A0"/>
    <w:rsid w:val="00F27ACB"/>
    <w:rsid w:val="00F33A7D"/>
    <w:rsid w:val="00F3616F"/>
    <w:rsid w:val="00F6618F"/>
    <w:rsid w:val="00F70DD5"/>
    <w:rsid w:val="00F73165"/>
    <w:rsid w:val="00F90BCE"/>
    <w:rsid w:val="00FB64D5"/>
    <w:rsid w:val="00FC2881"/>
    <w:rsid w:val="00FD7DC1"/>
    <w:rsid w:val="00FE17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8027EC-A006-40E4-BB05-99AB836C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AHPRASubhead">
    <w:name w:val="AHPRA Subhead"/>
    <w:basedOn w:val="Normal"/>
    <w:qFormat/>
    <w:rsid w:val="00755DC1"/>
    <w:pPr>
      <w:spacing w:after="200"/>
      <w:jc w:val="left"/>
    </w:pPr>
    <w:rPr>
      <w:rFonts w:eastAsia="Cambria" w:cs="Times New Roman"/>
      <w:b/>
      <w:color w:val="008EC4"/>
      <w:sz w:val="20"/>
      <w:lang w:val="en-US" w:eastAsia="en-US"/>
    </w:rPr>
  </w:style>
  <w:style w:type="paragraph" w:customStyle="1" w:styleId="Default">
    <w:name w:val="Default"/>
    <w:rsid w:val="00755DC1"/>
    <w:pPr>
      <w:autoSpaceDE w:val="0"/>
      <w:autoSpaceDN w:val="0"/>
      <w:adjustRightInd w:val="0"/>
    </w:pPr>
    <w:rPr>
      <w:rFonts w:eastAsia="Times New Roman" w:cs="Arial"/>
      <w:color w:val="000000"/>
      <w:sz w:val="24"/>
      <w:szCs w:val="24"/>
      <w:lang w:val="en-AU" w:eastAsia="en-AU"/>
    </w:rPr>
  </w:style>
  <w:style w:type="paragraph" w:customStyle="1" w:styleId="AHPRAHeadline">
    <w:name w:val="AHPRA Headline"/>
    <w:basedOn w:val="Normal"/>
    <w:qFormat/>
    <w:rsid w:val="00755DC1"/>
    <w:pPr>
      <w:spacing w:after="200"/>
      <w:jc w:val="left"/>
    </w:pPr>
    <w:rPr>
      <w:rFonts w:eastAsia="Cambria" w:cs="Times New Roman"/>
      <w:color w:val="008EC4"/>
      <w:sz w:val="28"/>
      <w:lang w:eastAsia="en-US"/>
    </w:rPr>
  </w:style>
  <w:style w:type="paragraph" w:styleId="ListParagraph">
    <w:name w:val="List Paragraph"/>
    <w:basedOn w:val="Normal"/>
    <w:link w:val="ListParagraphChar"/>
    <w:uiPriority w:val="34"/>
    <w:qFormat/>
    <w:rsid w:val="00755DC1"/>
    <w:pPr>
      <w:spacing w:after="200" w:line="276" w:lineRule="auto"/>
      <w:ind w:left="720"/>
      <w:contextualSpacing/>
      <w:jc w:val="left"/>
    </w:pPr>
    <w:rPr>
      <w:rFonts w:ascii="Calibri" w:eastAsia="Calibri" w:hAnsi="Calibri" w:cs="Times New Roman"/>
      <w:szCs w:val="22"/>
      <w:lang w:val="en-US" w:eastAsia="en-US"/>
    </w:rPr>
  </w:style>
  <w:style w:type="character" w:customStyle="1" w:styleId="ListParagraphChar">
    <w:name w:val="List Paragraph Char"/>
    <w:basedOn w:val="DefaultParagraphFont"/>
    <w:link w:val="ListParagraph"/>
    <w:uiPriority w:val="34"/>
    <w:locked/>
    <w:rsid w:val="00755DC1"/>
    <w:rPr>
      <w:rFonts w:ascii="Calibri" w:eastAsia="Calibri" w:hAnsi="Calibri"/>
      <w:sz w:val="22"/>
      <w:szCs w:val="22"/>
    </w:rPr>
  </w:style>
  <w:style w:type="character" w:customStyle="1" w:styleId="AHPRASubheadingChar">
    <w:name w:val="AHPRA Subheading Char"/>
    <w:link w:val="AHPRASubheading"/>
    <w:rsid w:val="00755DC1"/>
    <w:rPr>
      <w:b/>
      <w:color w:val="007DC3"/>
      <w:szCs w:val="24"/>
    </w:rPr>
  </w:style>
  <w:style w:type="paragraph" w:customStyle="1" w:styleId="AHPRATitle">
    <w:name w:val="AHPRA Title"/>
    <w:basedOn w:val="Normal"/>
    <w:next w:val="Normal"/>
    <w:qFormat/>
    <w:rsid w:val="00755DC1"/>
    <w:pPr>
      <w:spacing w:after="200"/>
      <w:jc w:val="left"/>
      <w:outlineLvl w:val="0"/>
    </w:pPr>
    <w:rPr>
      <w:rFonts w:eastAsia="Cambria"/>
      <w:color w:val="808080"/>
      <w:sz w:val="44"/>
      <w:szCs w:val="52"/>
      <w:lang w:val="en-US" w:eastAsia="en-US"/>
    </w:rPr>
  </w:style>
  <w:style w:type="character" w:styleId="FollowedHyperlink">
    <w:name w:val="FollowedHyperlink"/>
    <w:basedOn w:val="DefaultParagraphFont"/>
    <w:uiPriority w:val="1"/>
    <w:semiHidden/>
    <w:unhideWhenUsed/>
    <w:rsid w:val="00DE5265"/>
    <w:rPr>
      <w:color w:val="800080" w:themeColor="followedHyperlink"/>
      <w:u w:val="single"/>
    </w:rPr>
  </w:style>
  <w:style w:type="character" w:styleId="CommentReference">
    <w:name w:val="annotation reference"/>
    <w:basedOn w:val="DefaultParagraphFont"/>
    <w:uiPriority w:val="99"/>
    <w:semiHidden/>
    <w:unhideWhenUsed/>
    <w:rsid w:val="005315D9"/>
    <w:rPr>
      <w:sz w:val="16"/>
      <w:szCs w:val="16"/>
    </w:rPr>
  </w:style>
  <w:style w:type="paragraph" w:styleId="CommentText">
    <w:name w:val="annotation text"/>
    <w:basedOn w:val="Normal"/>
    <w:link w:val="CommentTextChar"/>
    <w:uiPriority w:val="99"/>
    <w:semiHidden/>
    <w:unhideWhenUsed/>
    <w:rsid w:val="005315D9"/>
    <w:rPr>
      <w:sz w:val="20"/>
      <w:szCs w:val="20"/>
    </w:rPr>
  </w:style>
  <w:style w:type="character" w:customStyle="1" w:styleId="CommentTextChar">
    <w:name w:val="Comment Text Char"/>
    <w:basedOn w:val="DefaultParagraphFont"/>
    <w:link w:val="CommentText"/>
    <w:uiPriority w:val="99"/>
    <w:semiHidden/>
    <w:rsid w:val="005315D9"/>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315D9"/>
    <w:rPr>
      <w:b/>
      <w:bCs/>
    </w:rPr>
  </w:style>
  <w:style w:type="character" w:customStyle="1" w:styleId="CommentSubjectChar">
    <w:name w:val="Comment Subject Char"/>
    <w:basedOn w:val="CommentTextChar"/>
    <w:link w:val="CommentSubject"/>
    <w:uiPriority w:val="1"/>
    <w:semiHidden/>
    <w:rsid w:val="005315D9"/>
    <w:rPr>
      <w:rFonts w:eastAsia="Times New Roman" w:cs="Arial"/>
      <w:b/>
      <w:bCs/>
      <w:lang w:val="en-AU" w:eastAsia="en-AU"/>
    </w:rPr>
  </w:style>
  <w:style w:type="paragraph" w:customStyle="1" w:styleId="Heading1non-numbered">
    <w:name w:val="Heading 1 non-numbered"/>
    <w:basedOn w:val="Heading1"/>
    <w:next w:val="BodyText"/>
    <w:qFormat/>
    <w:rsid w:val="00297274"/>
    <w:pPr>
      <w:keepNext w:val="0"/>
      <w:spacing w:before="200" w:after="200"/>
    </w:pPr>
    <w:rPr>
      <w:rFonts w:ascii="Arial" w:eastAsia="Cambria" w:hAnsi="Arial" w:cs="Times New Roman"/>
      <w:bCs w:val="0"/>
      <w:color w:val="007DC3"/>
      <w:kern w:val="0"/>
      <w:sz w:val="20"/>
      <w:szCs w:val="24"/>
    </w:rPr>
  </w:style>
  <w:style w:type="paragraph" w:styleId="BodyText">
    <w:name w:val="Body Text"/>
    <w:basedOn w:val="Normal"/>
    <w:link w:val="BodyTextChar"/>
    <w:uiPriority w:val="99"/>
    <w:semiHidden/>
    <w:unhideWhenUsed/>
    <w:rsid w:val="00297274"/>
    <w:pPr>
      <w:spacing w:after="120"/>
    </w:pPr>
  </w:style>
  <w:style w:type="character" w:customStyle="1" w:styleId="BodyTextChar">
    <w:name w:val="Body Text Char"/>
    <w:basedOn w:val="DefaultParagraphFont"/>
    <w:link w:val="BodyText"/>
    <w:uiPriority w:val="99"/>
    <w:semiHidden/>
    <w:rsid w:val="00297274"/>
    <w:rPr>
      <w:rFonts w:eastAsia="Times New Roman" w:cs="Arial"/>
      <w:sz w:val="22"/>
      <w:szCs w:val="24"/>
      <w:lang w:val="en-AU" w:eastAsia="en-AU"/>
    </w:rPr>
  </w:style>
  <w:style w:type="character" w:styleId="Strong">
    <w:name w:val="Strong"/>
    <w:basedOn w:val="DefaultParagraphFont"/>
    <w:uiPriority w:val="22"/>
    <w:qFormat/>
    <w:rsid w:val="00FB64D5"/>
    <w:rPr>
      <w:b/>
      <w:bCs/>
      <w:i w:val="0"/>
      <w:iCs w:val="0"/>
    </w:rPr>
  </w:style>
  <w:style w:type="paragraph" w:styleId="Revision">
    <w:name w:val="Revision"/>
    <w:hidden/>
    <w:rsid w:val="002D4B7A"/>
    <w:rPr>
      <w:rFonts w:eastAsia="Times New Roman" w:cs="Arial"/>
      <w:sz w:val="22"/>
      <w:szCs w:val="24"/>
      <w:lang w:val="en-AU" w:eastAsia="en-AU"/>
    </w:rPr>
  </w:style>
  <w:style w:type="paragraph" w:customStyle="1" w:styleId="AHPRABody0">
    <w:name w:val="AHPRA Body"/>
    <w:basedOn w:val="Normal"/>
    <w:qFormat/>
    <w:rsid w:val="00F33A7D"/>
    <w:pPr>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4971251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85815187">
      <w:bodyDiv w:val="1"/>
      <w:marLeft w:val="0"/>
      <w:marRight w:val="0"/>
      <w:marTop w:val="0"/>
      <w:marBottom w:val="0"/>
      <w:divBdr>
        <w:top w:val="none" w:sz="0" w:space="0" w:color="auto"/>
        <w:left w:val="none" w:sz="0" w:space="0" w:color="auto"/>
        <w:bottom w:val="none" w:sz="0" w:space="0" w:color="auto"/>
        <w:right w:val="none" w:sz="0" w:space="0" w:color="auto"/>
      </w:divBdr>
      <w:divsChild>
        <w:div w:id="982000147">
          <w:marLeft w:val="0"/>
          <w:marRight w:val="0"/>
          <w:marTop w:val="0"/>
          <w:marBottom w:val="0"/>
          <w:divBdr>
            <w:top w:val="none" w:sz="0" w:space="0" w:color="auto"/>
            <w:left w:val="none" w:sz="0" w:space="0" w:color="auto"/>
            <w:bottom w:val="none" w:sz="0" w:space="0" w:color="auto"/>
            <w:right w:val="none" w:sz="0" w:space="0" w:color="auto"/>
          </w:divBdr>
          <w:divsChild>
            <w:div w:id="1463765572">
              <w:marLeft w:val="0"/>
              <w:marRight w:val="0"/>
              <w:marTop w:val="0"/>
              <w:marBottom w:val="0"/>
              <w:divBdr>
                <w:top w:val="none" w:sz="0" w:space="0" w:color="auto"/>
                <w:left w:val="none" w:sz="0" w:space="0" w:color="auto"/>
                <w:bottom w:val="none" w:sz="0" w:space="0" w:color="auto"/>
                <w:right w:val="none" w:sz="0" w:space="0" w:color="auto"/>
              </w:divBdr>
              <w:divsChild>
                <w:div w:id="17476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8098">
      <w:bodyDiv w:val="1"/>
      <w:marLeft w:val="0"/>
      <w:marRight w:val="0"/>
      <w:marTop w:val="0"/>
      <w:marBottom w:val="0"/>
      <w:divBdr>
        <w:top w:val="none" w:sz="0" w:space="0" w:color="auto"/>
        <w:left w:val="none" w:sz="0" w:space="0" w:color="auto"/>
        <w:bottom w:val="none" w:sz="0" w:space="0" w:color="auto"/>
        <w:right w:val="none" w:sz="0" w:space="0" w:color="auto"/>
      </w:divBdr>
    </w:div>
    <w:div w:id="1305741944">
      <w:bodyDiv w:val="1"/>
      <w:marLeft w:val="0"/>
      <w:marRight w:val="0"/>
      <w:marTop w:val="0"/>
      <w:marBottom w:val="0"/>
      <w:divBdr>
        <w:top w:val="none" w:sz="0" w:space="0" w:color="auto"/>
        <w:left w:val="none" w:sz="0" w:space="0" w:color="auto"/>
        <w:bottom w:val="none" w:sz="0" w:space="0" w:color="auto"/>
        <w:right w:val="none" w:sz="0" w:space="0" w:color="auto"/>
      </w:divBdr>
    </w:div>
    <w:div w:id="1475173402">
      <w:bodyDiv w:val="1"/>
      <w:marLeft w:val="0"/>
      <w:marRight w:val="0"/>
      <w:marTop w:val="0"/>
      <w:marBottom w:val="0"/>
      <w:divBdr>
        <w:top w:val="none" w:sz="0" w:space="0" w:color="auto"/>
        <w:left w:val="none" w:sz="0" w:space="0" w:color="auto"/>
        <w:bottom w:val="none" w:sz="0" w:space="0" w:color="auto"/>
        <w:right w:val="none" w:sz="0" w:space="0" w:color="auto"/>
      </w:divBdr>
      <w:divsChild>
        <w:div w:id="358200">
          <w:marLeft w:val="0"/>
          <w:marRight w:val="0"/>
          <w:marTop w:val="0"/>
          <w:marBottom w:val="0"/>
          <w:divBdr>
            <w:top w:val="none" w:sz="0" w:space="0" w:color="auto"/>
            <w:left w:val="none" w:sz="0" w:space="0" w:color="auto"/>
            <w:bottom w:val="none" w:sz="0" w:space="0" w:color="auto"/>
            <w:right w:val="none" w:sz="0" w:space="0" w:color="auto"/>
          </w:divBdr>
          <w:divsChild>
            <w:div w:id="102187790">
              <w:marLeft w:val="0"/>
              <w:marRight w:val="0"/>
              <w:marTop w:val="0"/>
              <w:marBottom w:val="0"/>
              <w:divBdr>
                <w:top w:val="none" w:sz="0" w:space="0" w:color="auto"/>
                <w:left w:val="none" w:sz="0" w:space="0" w:color="auto"/>
                <w:bottom w:val="none" w:sz="0" w:space="0" w:color="auto"/>
                <w:right w:val="none" w:sz="0" w:space="0" w:color="auto"/>
              </w:divBdr>
              <w:divsChild>
                <w:div w:id="14419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63033">
      <w:bodyDiv w:val="1"/>
      <w:marLeft w:val="0"/>
      <w:marRight w:val="0"/>
      <w:marTop w:val="0"/>
      <w:marBottom w:val="0"/>
      <w:divBdr>
        <w:top w:val="none" w:sz="0" w:space="0" w:color="auto"/>
        <w:left w:val="none" w:sz="0" w:space="0" w:color="auto"/>
        <w:bottom w:val="none" w:sz="0" w:space="0" w:color="auto"/>
        <w:right w:val="none" w:sz="0" w:space="0" w:color="auto"/>
      </w:divBdr>
      <w:divsChild>
        <w:div w:id="1966962509">
          <w:marLeft w:val="0"/>
          <w:marRight w:val="0"/>
          <w:marTop w:val="0"/>
          <w:marBottom w:val="0"/>
          <w:divBdr>
            <w:top w:val="none" w:sz="0" w:space="0" w:color="auto"/>
            <w:left w:val="none" w:sz="0" w:space="0" w:color="auto"/>
            <w:bottom w:val="none" w:sz="0" w:space="0" w:color="auto"/>
            <w:right w:val="none" w:sz="0" w:space="0" w:color="auto"/>
          </w:divBdr>
          <w:divsChild>
            <w:div w:id="1898280774">
              <w:marLeft w:val="0"/>
              <w:marRight w:val="0"/>
              <w:marTop w:val="0"/>
              <w:marBottom w:val="0"/>
              <w:divBdr>
                <w:top w:val="none" w:sz="0" w:space="0" w:color="auto"/>
                <w:left w:val="none" w:sz="0" w:space="0" w:color="auto"/>
                <w:bottom w:val="none" w:sz="0" w:space="0" w:color="auto"/>
                <w:right w:val="none" w:sz="0" w:space="0" w:color="auto"/>
              </w:divBdr>
              <w:divsChild>
                <w:div w:id="1239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92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harmacyboard.gov.au/News/Current-Consultations.aspx" TargetMode="External"/><Relationship Id="rId13" Type="http://schemas.openxmlformats.org/officeDocument/2006/relationships/hyperlink" Target="http://www.pharmacyboard.gov.au/News/2015-12-22-national-regulatory-scheme.aspx" TargetMode="External"/><Relationship Id="rId18" Type="http://schemas.openxmlformats.org/officeDocument/2006/relationships/hyperlink" Target="http://www.pharmacyboard.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hpra.gov.au/About-AHPRA/What-We-Do.aspx" TargetMode="External"/><Relationship Id="rId17" Type="http://schemas.openxmlformats.org/officeDocument/2006/relationships/hyperlink" Target="https://www.ahpra.gov.au/About-AHPRA/Contact-Us/Make-an-Enquiry.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hpra.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News/2015-12-31-obligations-for-employers.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harmacyboard.gov.au" TargetMode="External"/><Relationship Id="rId23" Type="http://schemas.openxmlformats.org/officeDocument/2006/relationships/header" Target="header2.xml"/><Relationship Id="rId10" Type="http://schemas.openxmlformats.org/officeDocument/2006/relationships/hyperlink" Target="http://www.ahpra.gov.au" TargetMode="External"/><Relationship Id="rId19" Type="http://schemas.openxmlformats.org/officeDocument/2006/relationships/hyperlink" Target="http://www.ahpra.gov.au/About-AHPRA/What-We-Do.aspx" TargetMode="External"/><Relationship Id="rId4" Type="http://schemas.openxmlformats.org/officeDocument/2006/relationships/settings" Target="settings.xml"/><Relationship Id="rId9" Type="http://schemas.openxmlformats.org/officeDocument/2006/relationships/hyperlink" Target="http://www.pharmacyboard.gov.au" TargetMode="External"/><Relationship Id="rId14" Type="http://schemas.openxmlformats.org/officeDocument/2006/relationships/hyperlink" Target="https://www.youtube.com/channel/UCtswdaCOff5CIv1ijDY9ffw"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llon-smith\AppData\Local\Microsoft\Windows\Temporary%20Internet%20Files\Content.IE5\4XTFANJI\PharmBA_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13AE9-04E2-4D96-BC75-9BE4C884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PharmBA_letter-template</Template>
  <TotalTime>0</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8330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Pharmacy Board of Australia - 22 January 2016</dc:title>
  <dc:subject>Communique</dc:subject>
  <dc:creator>Pharmacy Board</dc:creator>
  <cp:lastModifiedBy>Sheryl Kamath</cp:lastModifiedBy>
  <cp:revision>2</cp:revision>
  <cp:lastPrinted>2012-04-24T01:37:00Z</cp:lastPrinted>
  <dcterms:created xsi:type="dcterms:W3CDTF">2016-02-03T03:51:00Z</dcterms:created>
  <dcterms:modified xsi:type="dcterms:W3CDTF">2016-02-03T03:51:00Z</dcterms:modified>
</cp:coreProperties>
</file>