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1B3F78" w:rsidRDefault="00755DC1" w:rsidP="00755DC1">
      <w:pPr>
        <w:pStyle w:val="AHPRATitle"/>
        <w:rPr>
          <w:b/>
          <w:noProof/>
          <w:sz w:val="28"/>
          <w:szCs w:val="28"/>
        </w:rPr>
      </w:pPr>
      <w:bookmarkStart w:id="0" w:name="_GoBack"/>
      <w:bookmarkEnd w:id="0"/>
      <w:r w:rsidRPr="001B3F78">
        <w:rPr>
          <w:b/>
          <w:sz w:val="28"/>
          <w:szCs w:val="28"/>
        </w:rPr>
        <w:t>Communiqué</w:t>
      </w:r>
    </w:p>
    <w:p w:rsidR="00755DC1" w:rsidRDefault="00096D52" w:rsidP="00755DC1">
      <w:pPr>
        <w:spacing w:after="200"/>
        <w:rPr>
          <w:b/>
          <w:sz w:val="20"/>
          <w:szCs w:val="20"/>
          <w:lang w:val="en-US"/>
        </w:rPr>
      </w:pPr>
      <w:r>
        <w:rPr>
          <w:b/>
          <w:sz w:val="20"/>
          <w:szCs w:val="20"/>
          <w:lang w:val="en-US"/>
        </w:rPr>
        <w:t>9</w:t>
      </w:r>
      <w:r w:rsidR="00221453">
        <w:rPr>
          <w:b/>
          <w:sz w:val="20"/>
          <w:szCs w:val="20"/>
          <w:lang w:val="en-US"/>
        </w:rPr>
        <w:t xml:space="preserve"> March</w:t>
      </w:r>
      <w:r w:rsidR="00592249">
        <w:rPr>
          <w:b/>
          <w:sz w:val="20"/>
          <w:szCs w:val="20"/>
          <w:lang w:val="en-US"/>
        </w:rPr>
        <w:t xml:space="preserve"> </w:t>
      </w:r>
      <w:r w:rsidR="00C96C59">
        <w:rPr>
          <w:b/>
          <w:sz w:val="20"/>
          <w:szCs w:val="20"/>
          <w:lang w:val="en-US"/>
        </w:rPr>
        <w:t>2016</w:t>
      </w:r>
    </w:p>
    <w:p w:rsidR="00FB64D5" w:rsidRPr="00EF7BF6" w:rsidRDefault="00FB64D5" w:rsidP="00CE39AC">
      <w:pPr>
        <w:pStyle w:val="AHPRASubhead"/>
        <w:rPr>
          <w:b w:val="0"/>
          <w:color w:val="000000"/>
        </w:rPr>
      </w:pPr>
      <w:r w:rsidRPr="00EF7BF6">
        <w:rPr>
          <w:b w:val="0"/>
          <w:color w:val="000000"/>
        </w:rPr>
        <w:t>The Pharmacy Board of Australia (the Board) meets each month to consider and decide on any matters related to its regulatory function</w:t>
      </w:r>
      <w:r w:rsidR="005632A0" w:rsidRPr="00EF7BF6">
        <w:rPr>
          <w:b w:val="0"/>
          <w:color w:val="000000"/>
        </w:rPr>
        <w:t xml:space="preserve"> under the National Law</w:t>
      </w:r>
      <w:r w:rsidR="005632A0" w:rsidRPr="00EF7BF6">
        <w:rPr>
          <w:rStyle w:val="FootnoteReference"/>
          <w:b w:val="0"/>
        </w:rPr>
        <w:footnoteReference w:id="2"/>
      </w:r>
      <w:r w:rsidR="005632A0" w:rsidRPr="00EF7BF6">
        <w:rPr>
          <w:b w:val="0"/>
          <w:color w:val="000000"/>
        </w:rPr>
        <w:t xml:space="preserve"> and </w:t>
      </w:r>
      <w:r w:rsidRPr="00EF7BF6">
        <w:rPr>
          <w:b w:val="0"/>
          <w:color w:val="000000"/>
        </w:rPr>
        <w:t xml:space="preserve">within the National Registration and Accreditation Scheme (the National Scheme). </w:t>
      </w:r>
    </w:p>
    <w:p w:rsidR="00DF1589" w:rsidRDefault="00FB64D5">
      <w:pPr>
        <w:pStyle w:val="AHPRAbody"/>
      </w:pPr>
      <w:r w:rsidRPr="00EF7BF6">
        <w:rPr>
          <w:rFonts w:eastAsiaTheme="minorHAnsi"/>
          <w:color w:val="000000"/>
        </w:rPr>
        <w:t>This communiqué aims to inform stakeholders of the work of the Board and matters regarding the National Scheme</w:t>
      </w:r>
      <w:r w:rsidRPr="00EF7BF6">
        <w:t>. Please forward it on to colleagues and employees who may be interested in its content.</w:t>
      </w:r>
    </w:p>
    <w:p w:rsidR="00DF1589" w:rsidRDefault="00221453">
      <w:pPr>
        <w:pStyle w:val="AHPRASubhead"/>
      </w:pPr>
      <w:r>
        <w:t xml:space="preserve">Tribunal </w:t>
      </w:r>
      <w:r w:rsidR="00592249">
        <w:t xml:space="preserve">reprimands former pharmacist </w:t>
      </w:r>
    </w:p>
    <w:p w:rsidR="00DF1589" w:rsidRDefault="00592249">
      <w:pPr>
        <w:pStyle w:val="AHPRASubhead"/>
        <w:rPr>
          <w:b w:val="0"/>
          <w:color w:val="auto"/>
        </w:rPr>
      </w:pPr>
      <w:r>
        <w:rPr>
          <w:b w:val="0"/>
          <w:color w:val="auto"/>
        </w:rPr>
        <w:t>A former pharmacist found to have engaged in unprofessional conduct has been reprimanded by the Queensland Civil and Administrative Tribunal (QCAT).</w:t>
      </w:r>
    </w:p>
    <w:p w:rsidR="00DF1589" w:rsidRDefault="00592249">
      <w:pPr>
        <w:pStyle w:val="AHPRASubhead"/>
        <w:rPr>
          <w:b w:val="0"/>
          <w:color w:val="auto"/>
        </w:rPr>
      </w:pPr>
      <w:r>
        <w:rPr>
          <w:b w:val="0"/>
          <w:color w:val="auto"/>
        </w:rPr>
        <w:t>The tribunal found he engaged in unprofessional conduct for inappropriately dispensing pseudoephedrine (PSE), a drug which is well known to pharmacists for its potential for misuse and abuse.</w:t>
      </w:r>
    </w:p>
    <w:p w:rsidR="00DF1589" w:rsidRDefault="00592249">
      <w:pPr>
        <w:pStyle w:val="AHPRASubhead"/>
        <w:rPr>
          <w:b w:val="0"/>
          <w:color w:val="auto"/>
        </w:rPr>
      </w:pPr>
      <w:r>
        <w:rPr>
          <w:b w:val="0"/>
          <w:color w:val="auto"/>
        </w:rPr>
        <w:t xml:space="preserve">The Board referred </w:t>
      </w:r>
      <w:proofErr w:type="spellStart"/>
      <w:r>
        <w:rPr>
          <w:b w:val="0"/>
          <w:color w:val="auto"/>
        </w:rPr>
        <w:t>Mr</w:t>
      </w:r>
      <w:proofErr w:type="spellEnd"/>
      <w:r>
        <w:rPr>
          <w:b w:val="0"/>
          <w:color w:val="auto"/>
        </w:rPr>
        <w:t xml:space="preserve"> Robert Donald Louis, a formerly registered pharmacist, to QCAT regarding concerns about his practice between March 2009 and May 2011.</w:t>
      </w:r>
    </w:p>
    <w:p w:rsidR="00DF1589" w:rsidRDefault="00592249">
      <w:pPr>
        <w:pStyle w:val="AHPRASubhead"/>
        <w:rPr>
          <w:b w:val="0"/>
          <w:color w:val="auto"/>
        </w:rPr>
      </w:pPr>
      <w:r>
        <w:rPr>
          <w:b w:val="0"/>
          <w:color w:val="auto"/>
        </w:rPr>
        <w:t xml:space="preserve">More information and a link to the tribunal’s full decision is available in a </w:t>
      </w:r>
      <w:hyperlink r:id="rId8" w:history="1">
        <w:r w:rsidRPr="00592249">
          <w:rPr>
            <w:rStyle w:val="Hyperlink"/>
            <w:b w:val="0"/>
          </w:rPr>
          <w:t>news item</w:t>
        </w:r>
      </w:hyperlink>
      <w:r>
        <w:rPr>
          <w:b w:val="0"/>
          <w:color w:val="auto"/>
        </w:rPr>
        <w:t xml:space="preserve"> on the Board’s website.</w:t>
      </w:r>
    </w:p>
    <w:p w:rsidR="00DF1589" w:rsidRDefault="00221453">
      <w:pPr>
        <w:pStyle w:val="AHPRASubhead"/>
      </w:pPr>
      <w:r>
        <w:t xml:space="preserve">Pharmacy Board of Australia profession profile </w:t>
      </w:r>
    </w:p>
    <w:p w:rsidR="00DF1589" w:rsidRDefault="00221453">
      <w:pPr>
        <w:pStyle w:val="AHPRABody0"/>
        <w:rPr>
          <w:lang w:val="en-US"/>
        </w:rPr>
      </w:pPr>
      <w:r>
        <w:rPr>
          <w:lang w:val="en-US"/>
        </w:rPr>
        <w:t xml:space="preserve">The Board will publish in late March a report of its work in the regulation of the pharmacy profession under the National Scheme during 2014/15. </w:t>
      </w:r>
    </w:p>
    <w:p w:rsidR="00DF1589" w:rsidRDefault="00DF1589">
      <w:pPr>
        <w:pStyle w:val="AHPRABody0"/>
        <w:rPr>
          <w:lang w:val="en-US"/>
        </w:rPr>
      </w:pPr>
    </w:p>
    <w:p w:rsidR="00DF1589" w:rsidRDefault="00221453">
      <w:pPr>
        <w:pStyle w:val="AHPRABody0"/>
        <w:rPr>
          <w:lang w:val="en-US"/>
        </w:rPr>
      </w:pPr>
      <w:r>
        <w:rPr>
          <w:lang w:val="en-US"/>
        </w:rPr>
        <w:t xml:space="preserve">The report provides a profession-specific view of the Board’s work to manage risk to the public. It is a profile of regulation at work for the pharmacy profession in Australia for the 12 months ending 30 June 2015. </w:t>
      </w:r>
    </w:p>
    <w:p w:rsidR="00DF1589" w:rsidRDefault="00DF1589">
      <w:pPr>
        <w:pStyle w:val="AHPRASubhead"/>
        <w:spacing w:after="0"/>
        <w:rPr>
          <w:b w:val="0"/>
          <w:color w:val="000000"/>
        </w:rPr>
      </w:pPr>
    </w:p>
    <w:p w:rsidR="00DF1589" w:rsidRDefault="00221453">
      <w:pPr>
        <w:rPr>
          <w:color w:val="000000"/>
          <w:sz w:val="20"/>
          <w:szCs w:val="20"/>
          <w:lang w:val="en-US"/>
        </w:rPr>
      </w:pPr>
      <w:r>
        <w:rPr>
          <w:color w:val="000000"/>
          <w:sz w:val="20"/>
          <w:szCs w:val="20"/>
          <w:lang w:val="en-US"/>
        </w:rPr>
        <w:t xml:space="preserve">The data in this report are drawn from data published in the </w:t>
      </w:r>
      <w:hyperlink r:id="rId9" w:history="1">
        <w:r>
          <w:rPr>
            <w:rStyle w:val="Hyperlink"/>
            <w:rFonts w:eastAsiaTheme="majorEastAsia"/>
            <w:sz w:val="20"/>
            <w:szCs w:val="20"/>
            <w:lang w:val="en-US"/>
          </w:rPr>
          <w:t>2014/15 annual report</w:t>
        </w:r>
      </w:hyperlink>
      <w:r>
        <w:rPr>
          <w:color w:val="0000FF"/>
          <w:sz w:val="20"/>
          <w:szCs w:val="20"/>
          <w:lang w:val="en-US"/>
        </w:rPr>
        <w:t xml:space="preserve"> </w:t>
      </w:r>
      <w:r>
        <w:rPr>
          <w:color w:val="000000"/>
          <w:sz w:val="20"/>
          <w:szCs w:val="20"/>
          <w:lang w:val="en-US"/>
        </w:rPr>
        <w:t>of AHPRA and the National Boards, reporting on the National Scheme.</w:t>
      </w:r>
    </w:p>
    <w:p w:rsidR="00DF1589" w:rsidRDefault="00221453">
      <w:pPr>
        <w:pStyle w:val="AHPRASubheading"/>
        <w:rPr>
          <w:lang w:val="en-AU"/>
        </w:rPr>
      </w:pPr>
      <w:r>
        <w:t>Local data summaries from a National Scheme</w:t>
      </w:r>
    </w:p>
    <w:p w:rsidR="00DF1589" w:rsidRDefault="00221453">
      <w:pPr>
        <w:rPr>
          <w:sz w:val="20"/>
          <w:szCs w:val="20"/>
          <w:lang w:val="en-US"/>
        </w:rPr>
      </w:pPr>
      <w:r>
        <w:rPr>
          <w:sz w:val="20"/>
          <w:szCs w:val="20"/>
          <w:lang w:val="en-US"/>
        </w:rPr>
        <w:t xml:space="preserve">The National Boards and AHPRA have published </w:t>
      </w:r>
      <w:hyperlink r:id="rId10" w:history="1">
        <w:r>
          <w:rPr>
            <w:rStyle w:val="Hyperlink"/>
            <w:rFonts w:eastAsiaTheme="majorEastAsia"/>
            <w:sz w:val="20"/>
            <w:szCs w:val="20"/>
            <w:lang w:val="en-US"/>
          </w:rPr>
          <w:t>reports for each state and territory</w:t>
        </w:r>
      </w:hyperlink>
      <w:r>
        <w:rPr>
          <w:sz w:val="20"/>
          <w:szCs w:val="20"/>
          <w:lang w:val="en-US"/>
        </w:rPr>
        <w:t xml:space="preserve"> on the National Scheme.</w:t>
      </w:r>
      <w:r w:rsidR="00CE39AC">
        <w:rPr>
          <w:sz w:val="20"/>
          <w:szCs w:val="20"/>
          <w:lang w:val="en-US"/>
        </w:rPr>
        <w:t xml:space="preserve"> They are for the 2014/15 year of the scheme.</w:t>
      </w:r>
    </w:p>
    <w:p w:rsidR="00DF1589" w:rsidRDefault="00DF1589">
      <w:pPr>
        <w:rPr>
          <w:sz w:val="20"/>
          <w:szCs w:val="20"/>
          <w:lang w:val="en-US"/>
        </w:rPr>
      </w:pPr>
    </w:p>
    <w:p w:rsidR="00DF1589" w:rsidRDefault="00221453">
      <w:pPr>
        <w:rPr>
          <w:sz w:val="20"/>
          <w:szCs w:val="20"/>
          <w:lang w:val="en-US"/>
        </w:rPr>
      </w:pPr>
      <w:r>
        <w:rPr>
          <w:sz w:val="20"/>
          <w:szCs w:val="20"/>
          <w:lang w:val="en-US"/>
        </w:rPr>
        <w:t>The reports provide a unique insight on local outcomes within a scheme for which the core focus is protection of the public. The</w:t>
      </w:r>
      <w:r w:rsidR="00CE39AC">
        <w:rPr>
          <w:sz w:val="20"/>
          <w:szCs w:val="20"/>
          <w:lang w:val="en-US"/>
        </w:rPr>
        <w:t xml:space="preserve">y include </w:t>
      </w:r>
      <w:r>
        <w:rPr>
          <w:sz w:val="20"/>
          <w:szCs w:val="20"/>
          <w:lang w:val="en-US"/>
        </w:rPr>
        <w:t>local data on registration types, notifications (complaints) and mandatory notifications for the regulated health professions, for each state and territory.</w:t>
      </w:r>
    </w:p>
    <w:p w:rsidR="00DF1589" w:rsidRDefault="00DF1589">
      <w:pPr>
        <w:pStyle w:val="AHPRASubheading"/>
      </w:pPr>
    </w:p>
    <w:p w:rsidR="00DF1589" w:rsidRDefault="00221453">
      <w:pPr>
        <w:pStyle w:val="AHPRASubheading"/>
        <w:rPr>
          <w:lang w:val="en-AU"/>
        </w:rPr>
      </w:pPr>
      <w:r>
        <w:lastRenderedPageBreak/>
        <w:t>National awareness campaign</w:t>
      </w:r>
    </w:p>
    <w:p w:rsidR="00DF1589" w:rsidRDefault="00221453">
      <w:pPr>
        <w:rPr>
          <w:sz w:val="20"/>
          <w:szCs w:val="20"/>
          <w:lang w:val="en-US"/>
        </w:rPr>
      </w:pPr>
      <w:r>
        <w:rPr>
          <w:sz w:val="20"/>
          <w:szCs w:val="20"/>
          <w:lang w:val="en-US"/>
        </w:rPr>
        <w:t xml:space="preserve">You may have seen the beginning of the AHPRA national awareness campaign. </w:t>
      </w:r>
      <w:r>
        <w:rPr>
          <w:b/>
          <w:bCs/>
          <w:sz w:val="20"/>
          <w:szCs w:val="20"/>
          <w:lang w:val="en-US"/>
        </w:rPr>
        <w:t>Know your obligations</w:t>
      </w:r>
      <w:r>
        <w:rPr>
          <w:sz w:val="20"/>
          <w:szCs w:val="20"/>
          <w:lang w:val="en-US"/>
        </w:rPr>
        <w:t xml:space="preserve">, the first of three phases, directed at employers of health practitioners, launched at the close of last year. The message has been shared over social media through targeted ads resulting in a doubling of our online community.  </w:t>
      </w:r>
    </w:p>
    <w:p w:rsidR="00DF1589" w:rsidRDefault="00DF1589">
      <w:pPr>
        <w:rPr>
          <w:sz w:val="20"/>
          <w:szCs w:val="20"/>
          <w:lang w:val="en-US"/>
        </w:rPr>
      </w:pPr>
    </w:p>
    <w:p w:rsidR="00DF1589" w:rsidRDefault="00221453">
      <w:pPr>
        <w:rPr>
          <w:sz w:val="20"/>
          <w:szCs w:val="20"/>
          <w:lang w:val="en-US"/>
        </w:rPr>
      </w:pPr>
      <w:r>
        <w:rPr>
          <w:sz w:val="20"/>
          <w:szCs w:val="20"/>
          <w:lang w:val="en-US"/>
        </w:rPr>
        <w:t>The next phase of the campaign is targeted at practitioners. Under the headline of</w:t>
      </w:r>
      <w:r>
        <w:rPr>
          <w:b/>
          <w:bCs/>
          <w:sz w:val="20"/>
          <w:szCs w:val="20"/>
          <w:lang w:val="en-US"/>
        </w:rPr>
        <w:t xml:space="preserve"> </w:t>
      </w:r>
      <w:proofErr w:type="gramStart"/>
      <w:r>
        <w:rPr>
          <w:b/>
          <w:bCs/>
          <w:sz w:val="20"/>
          <w:szCs w:val="20"/>
          <w:lang w:val="en-US"/>
        </w:rPr>
        <w:t>The</w:t>
      </w:r>
      <w:proofErr w:type="gramEnd"/>
      <w:r>
        <w:rPr>
          <w:sz w:val="20"/>
          <w:szCs w:val="20"/>
          <w:lang w:val="en-US"/>
        </w:rPr>
        <w:t xml:space="preserve"> </w:t>
      </w:r>
      <w:r>
        <w:rPr>
          <w:b/>
          <w:bCs/>
          <w:sz w:val="20"/>
          <w:szCs w:val="20"/>
          <w:lang w:val="en-US"/>
        </w:rPr>
        <w:t>not-so-small print</w:t>
      </w:r>
      <w:r>
        <w:rPr>
          <w:sz w:val="20"/>
          <w:szCs w:val="20"/>
          <w:lang w:val="en-US"/>
        </w:rPr>
        <w:t>, practitioners are encouraged to stay up to date with regulation changes as they occur, and to be aware of their obligations as registered practitioners. Advertisements will be rolled out later this month across a mix of social media, industry publications and newsletters.  </w:t>
      </w:r>
    </w:p>
    <w:p w:rsidR="00DF1589" w:rsidRDefault="00DF1589">
      <w:pPr>
        <w:rPr>
          <w:sz w:val="20"/>
          <w:szCs w:val="20"/>
          <w:lang w:val="en-US"/>
        </w:rPr>
      </w:pPr>
    </w:p>
    <w:p w:rsidR="00DF1589" w:rsidRDefault="00221453">
      <w:pPr>
        <w:pStyle w:val="AHPRASubhead"/>
        <w:rPr>
          <w:rStyle w:val="Hyperlink"/>
          <w:rFonts w:eastAsiaTheme="majorEastAsia" w:cs="Arial"/>
          <w:b w:val="0"/>
          <w:sz w:val="22"/>
          <w:lang w:val="en-AU" w:eastAsia="en-AU"/>
        </w:rPr>
      </w:pPr>
      <w:r w:rsidRPr="00221453">
        <w:rPr>
          <w:rFonts w:cs="Arial"/>
          <w:b w:val="0"/>
          <w:color w:val="auto"/>
          <w:szCs w:val="20"/>
        </w:rPr>
        <w:t xml:space="preserve">The final phase will be directed at the public to increase awareness of the </w:t>
      </w:r>
      <w:hyperlink r:id="rId11" w:history="1">
        <w:r w:rsidRPr="00221453">
          <w:rPr>
            <w:rStyle w:val="Hyperlink"/>
            <w:rFonts w:eastAsiaTheme="majorEastAsia" w:cs="Arial"/>
            <w:b w:val="0"/>
            <w:szCs w:val="20"/>
            <w:lang w:eastAsia="en-AU"/>
          </w:rPr>
          <w:t>national register of practitioners</w:t>
        </w:r>
      </w:hyperlink>
      <w:r w:rsidRPr="00221453">
        <w:rPr>
          <w:rStyle w:val="Hyperlink"/>
          <w:rFonts w:eastAsiaTheme="majorEastAsia"/>
          <w:b w:val="0"/>
          <w:lang w:eastAsia="en-AU"/>
        </w:rPr>
        <w:t>.</w:t>
      </w:r>
    </w:p>
    <w:p w:rsidR="00DF1589" w:rsidRDefault="00157B0A">
      <w:pPr>
        <w:pStyle w:val="AHPRASubheading"/>
      </w:pPr>
      <w:r>
        <w:rPr>
          <w:bCs/>
          <w:lang w:val="en-AU"/>
        </w:rPr>
        <w:t>Further consultation on guidance</w:t>
      </w:r>
      <w:r w:rsidR="00BB2D22">
        <w:rPr>
          <w:bCs/>
          <w:lang w:val="en-AU"/>
        </w:rPr>
        <w:t>:</w:t>
      </w:r>
      <w:r>
        <w:rPr>
          <w:bCs/>
          <w:lang w:val="en-AU"/>
        </w:rPr>
        <w:t xml:space="preserve"> </w:t>
      </w:r>
      <w:r w:rsidRPr="00157B0A">
        <w:rPr>
          <w:bCs/>
          <w:lang w:val="en-AU"/>
        </w:rPr>
        <w:t xml:space="preserve">Expiry of </w:t>
      </w:r>
      <w:r>
        <w:rPr>
          <w:bCs/>
          <w:lang w:val="en-AU"/>
        </w:rPr>
        <w:t>compounded parenteral medicines</w:t>
      </w:r>
    </w:p>
    <w:p w:rsidR="00DF1589" w:rsidRDefault="00221453">
      <w:pPr>
        <w:pStyle w:val="AHPRABody0"/>
        <w:spacing w:after="200"/>
      </w:pPr>
      <w:r>
        <w:t xml:space="preserve">Consultation on the </w:t>
      </w:r>
      <w:r w:rsidRPr="0001471F">
        <w:rPr>
          <w:i/>
        </w:rPr>
        <w:t>Expiry of compounded parenteral medicines</w:t>
      </w:r>
      <w:r w:rsidRPr="00BB35F0">
        <w:t xml:space="preserve"> section</w:t>
      </w:r>
      <w:r>
        <w:t xml:space="preserve"> of </w:t>
      </w:r>
      <w:r w:rsidR="00CE39AC">
        <w:t xml:space="preserve">the Board’s </w:t>
      </w:r>
      <w:r w:rsidRPr="00157B0A">
        <w:t xml:space="preserve"> </w:t>
      </w:r>
      <w:r w:rsidRPr="00157B0A">
        <w:rPr>
          <w:i/>
          <w:iCs/>
        </w:rPr>
        <w:t>Guidelines on compounding of medicines</w:t>
      </w:r>
      <w:r w:rsidRPr="00157B0A">
        <w:t xml:space="preserve"> (the guidelines)</w:t>
      </w:r>
      <w:r>
        <w:t xml:space="preserve"> is underway and will close</w:t>
      </w:r>
      <w:r w:rsidR="00CE39AC">
        <w:t xml:space="preserve"> </w:t>
      </w:r>
      <w:r>
        <w:t xml:space="preserve">on </w:t>
      </w:r>
      <w:r w:rsidR="00096D52">
        <w:br/>
      </w:r>
      <w:r>
        <w:t>30 March 2016.</w:t>
      </w:r>
    </w:p>
    <w:p w:rsidR="00DF1589" w:rsidRDefault="00221453">
      <w:pPr>
        <w:pStyle w:val="AHPRABody0"/>
        <w:spacing w:after="200"/>
      </w:pPr>
      <w:r>
        <w:t xml:space="preserve">The consultation paper and response form are available from the Board’s </w:t>
      </w:r>
      <w:hyperlink r:id="rId12" w:history="1">
        <w:r w:rsidRPr="000734F5">
          <w:rPr>
            <w:rStyle w:val="Hyperlink"/>
          </w:rPr>
          <w:t>Current Consult</w:t>
        </w:r>
        <w:r>
          <w:rPr>
            <w:rStyle w:val="Hyperlink"/>
          </w:rPr>
          <w:t xml:space="preserve">ations </w:t>
        </w:r>
        <w:r w:rsidRPr="000734F5">
          <w:rPr>
            <w:rStyle w:val="Hyperlink"/>
          </w:rPr>
          <w:t>page</w:t>
        </w:r>
      </w:hyperlink>
      <w:r>
        <w:t xml:space="preserve"> on its website. </w:t>
      </w:r>
      <w:r w:rsidRPr="00157B0A">
        <w:t xml:space="preserve">Given the Board’s previous consultation on the complete </w:t>
      </w:r>
      <w:r>
        <w:t xml:space="preserve">compounding </w:t>
      </w:r>
      <w:r w:rsidRPr="00157B0A">
        <w:t xml:space="preserve">guidelines, </w:t>
      </w:r>
      <w:r w:rsidRPr="00157B0A">
        <w:rPr>
          <w:bCs/>
        </w:rPr>
        <w:t xml:space="preserve">other sections </w:t>
      </w:r>
      <w:r>
        <w:rPr>
          <w:bCs/>
        </w:rPr>
        <w:t xml:space="preserve">of the guidelines </w:t>
      </w:r>
      <w:r w:rsidRPr="00157B0A">
        <w:rPr>
          <w:bCs/>
        </w:rPr>
        <w:t>are not part of this public consultation</w:t>
      </w:r>
      <w:r w:rsidRPr="00157B0A">
        <w:t>.</w:t>
      </w:r>
    </w:p>
    <w:p w:rsidR="00DF1589" w:rsidRDefault="00CE39AC">
      <w:pPr>
        <w:pStyle w:val="AHPRABody0"/>
        <w:spacing w:after="200"/>
        <w:rPr>
          <w:b/>
        </w:rPr>
      </w:pPr>
      <w:r>
        <w:t xml:space="preserve">The </w:t>
      </w:r>
      <w:r w:rsidR="00221453" w:rsidRPr="00157B0A">
        <w:t xml:space="preserve">Board </w:t>
      </w:r>
      <w:r w:rsidR="00221453">
        <w:t>invites submissions from the community, stakeholders, pharmacists and other health practitioners which must be sent no later than 30 March 2016.</w:t>
      </w:r>
    </w:p>
    <w:p w:rsidR="00DF1589" w:rsidRDefault="00221453">
      <w:pPr>
        <w:pStyle w:val="AHPRASubhead"/>
        <w:rPr>
          <w:rFonts w:cs="Arial"/>
          <w:szCs w:val="20"/>
        </w:rPr>
      </w:pPr>
      <w:r>
        <w:rPr>
          <w:rFonts w:cs="Arial"/>
          <w:szCs w:val="20"/>
        </w:rPr>
        <w:t>Pharmacy Board newsletter</w:t>
      </w:r>
    </w:p>
    <w:p w:rsidR="00DF1589" w:rsidRDefault="00221453">
      <w:pPr>
        <w:pStyle w:val="AHPRAbody"/>
        <w:rPr>
          <w:szCs w:val="20"/>
        </w:rPr>
      </w:pPr>
      <w:r>
        <w:rPr>
          <w:lang w:eastAsia="en-AU"/>
        </w:rPr>
        <w:t>Later this month, an electronic newsletter providing an update on a range of Board activities and practice</w:t>
      </w:r>
      <w:r w:rsidR="00CE39AC">
        <w:rPr>
          <w:lang w:eastAsia="en-AU"/>
        </w:rPr>
        <w:t>-</w:t>
      </w:r>
      <w:r>
        <w:rPr>
          <w:lang w:eastAsia="en-AU"/>
        </w:rPr>
        <w:t xml:space="preserve">related issues will be emailed to all registered pharmacists and published on the Board’s </w:t>
      </w:r>
      <w:r w:rsidRPr="00221453">
        <w:rPr>
          <w:lang w:eastAsia="en-AU"/>
        </w:rPr>
        <w:t>website</w:t>
      </w:r>
      <w:r>
        <w:rPr>
          <w:lang w:eastAsia="en-AU"/>
        </w:rPr>
        <w:t>.</w:t>
      </w:r>
      <w:r w:rsidR="00CE39AC">
        <w:rPr>
          <w:lang w:eastAsia="en-AU"/>
        </w:rPr>
        <w:t xml:space="preserve"> </w:t>
      </w:r>
      <w:r w:rsidRPr="00221453">
        <w:rPr>
          <w:szCs w:val="20"/>
        </w:rPr>
        <w:t xml:space="preserve">Pharmacists who have not provided an email address can do so through the </w:t>
      </w:r>
      <w:hyperlink r:id="rId13" w:history="1">
        <w:r w:rsidRPr="00221453">
          <w:rPr>
            <w:rStyle w:val="Hyperlink"/>
            <w:szCs w:val="20"/>
          </w:rPr>
          <w:t>online services for practitioners</w:t>
        </w:r>
      </w:hyperlink>
    </w:p>
    <w:p w:rsidR="00755DC1" w:rsidRPr="001F3193" w:rsidRDefault="00755DC1" w:rsidP="00CE39AC">
      <w:pPr>
        <w:pStyle w:val="Default"/>
        <w:spacing w:after="200"/>
        <w:rPr>
          <w:b/>
          <w:bCs/>
          <w:color w:val="008EC4"/>
          <w:sz w:val="20"/>
          <w:szCs w:val="20"/>
        </w:rPr>
      </w:pPr>
      <w:r w:rsidRPr="001F3193">
        <w:rPr>
          <w:b/>
          <w:bCs/>
          <w:color w:val="008EC4"/>
          <w:sz w:val="20"/>
          <w:szCs w:val="20"/>
        </w:rPr>
        <w:t xml:space="preserve">Further information </w:t>
      </w:r>
    </w:p>
    <w:p w:rsidR="00DF1589" w:rsidRDefault="00755DC1">
      <w:pPr>
        <w:pStyle w:val="AHPRAbody"/>
      </w:pPr>
      <w:r w:rsidRPr="00553EAC">
        <w:t xml:space="preserve">The Board publishes a range of information </w:t>
      </w:r>
      <w:r>
        <w:t xml:space="preserve">for pharmacists on its website at </w:t>
      </w:r>
      <w:hyperlink r:id="rId14" w:history="1">
        <w:r w:rsidRPr="00C472AE">
          <w:rPr>
            <w:rStyle w:val="Hyperlink"/>
          </w:rPr>
          <w:t>www.pharmacyboard.gov.au</w:t>
        </w:r>
      </w:hyperlink>
      <w:r>
        <w:t>.</w:t>
      </w:r>
      <w:r w:rsidR="00CE39AC">
        <w:t xml:space="preserve"> </w:t>
      </w:r>
      <w:r w:rsidRPr="00553EAC">
        <w:t>For more information about registration</w:t>
      </w:r>
      <w:r>
        <w:t>, notifications or other matters relevant to the National Registration and Accreditation Scheme</w:t>
      </w:r>
      <w:r w:rsidRPr="00553EAC">
        <w:t xml:space="preserve"> </w:t>
      </w:r>
      <w:r>
        <w:t xml:space="preserve">also refer to information published on </w:t>
      </w:r>
      <w:hyperlink r:id="rId15" w:history="1">
        <w:r w:rsidRPr="00C472AE">
          <w:rPr>
            <w:rStyle w:val="Hyperlink"/>
          </w:rPr>
          <w:t>www.ahpra.gov.au</w:t>
        </w:r>
      </w:hyperlink>
      <w:r>
        <w:t xml:space="preserve"> or s</w:t>
      </w:r>
      <w:r w:rsidRPr="00553EAC">
        <w:t xml:space="preserve">end an </w:t>
      </w:r>
      <w:hyperlink r:id="rId16"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EF7BF6" w:rsidRDefault="00EF7BF6" w:rsidP="00CE39AC">
      <w:pPr>
        <w:spacing w:after="120"/>
        <w:contextualSpacing/>
        <w:rPr>
          <w:sz w:val="20"/>
          <w:szCs w:val="20"/>
          <w:lang w:val="en-US"/>
        </w:rPr>
      </w:pPr>
    </w:p>
    <w:p w:rsidR="00DF1589" w:rsidRDefault="00755DC1">
      <w:pPr>
        <w:spacing w:after="120"/>
        <w:contextualSpacing/>
        <w:rPr>
          <w:sz w:val="20"/>
          <w:szCs w:val="20"/>
          <w:lang w:val="en-US"/>
        </w:rPr>
      </w:pPr>
      <w:r>
        <w:rPr>
          <w:sz w:val="20"/>
          <w:szCs w:val="20"/>
          <w:lang w:val="en-US"/>
        </w:rPr>
        <w:t>William Kelly</w:t>
      </w:r>
    </w:p>
    <w:p w:rsidR="00DF1589" w:rsidRDefault="00755DC1">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DF1589" w:rsidRDefault="00096D52">
      <w:pPr>
        <w:spacing w:after="120"/>
        <w:rPr>
          <w:sz w:val="20"/>
          <w:szCs w:val="20"/>
          <w:lang w:val="en-US"/>
        </w:rPr>
      </w:pPr>
      <w:r>
        <w:rPr>
          <w:sz w:val="20"/>
          <w:szCs w:val="20"/>
          <w:lang w:val="en-US"/>
        </w:rPr>
        <w:t>9</w:t>
      </w:r>
      <w:r w:rsidR="00221453">
        <w:rPr>
          <w:sz w:val="20"/>
          <w:szCs w:val="20"/>
          <w:lang w:val="en-US"/>
        </w:rPr>
        <w:t xml:space="preserve"> March </w:t>
      </w:r>
      <w:r w:rsidR="00C96C59">
        <w:rPr>
          <w:sz w:val="20"/>
          <w:szCs w:val="20"/>
          <w:lang w:val="en-US"/>
        </w:rPr>
        <w:t>2016</w:t>
      </w:r>
    </w:p>
    <w:p w:rsidR="00DF1589" w:rsidRDefault="00DF1589">
      <w:pPr>
        <w:rPr>
          <w:sz w:val="20"/>
          <w:szCs w:val="20"/>
          <w:lang w:val="en-US"/>
        </w:rPr>
      </w:pPr>
    </w:p>
    <w:p w:rsidR="00DF1589" w:rsidRDefault="00E7401D">
      <w:pPr>
        <w:pStyle w:val="AHPRAHeadline"/>
        <w:spacing w:after="120"/>
        <w:rPr>
          <w:i/>
          <w:color w:val="auto"/>
          <w:sz w:val="18"/>
          <w:szCs w:val="18"/>
        </w:rPr>
      </w:pPr>
      <w:hyperlink r:id="rId17" w:history="1">
        <w:r w:rsidR="00755DC1" w:rsidRPr="00E97FA1">
          <w:rPr>
            <w:rStyle w:val="Hyperlink"/>
            <w:i/>
            <w:sz w:val="18"/>
            <w:szCs w:val="18"/>
          </w:rPr>
          <w:t>The Pharmacy Board of Australia</w:t>
        </w:r>
      </w:hyperlink>
      <w:r w:rsidR="00755DC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8" w:history="1">
        <w:r w:rsidR="00755DC1" w:rsidRPr="00E97FA1">
          <w:rPr>
            <w:rStyle w:val="Hyperlink"/>
            <w:i/>
            <w:sz w:val="18"/>
            <w:szCs w:val="18"/>
          </w:rPr>
          <w:t>regulatory principles</w:t>
        </w:r>
      </w:hyperlink>
      <w:r w:rsidR="00755DC1" w:rsidRPr="00E97FA1">
        <w:rPr>
          <w:i/>
          <w:color w:val="auto"/>
          <w:sz w:val="18"/>
          <w:szCs w:val="18"/>
        </w:rPr>
        <w:t>, which encourage a responsive, risk-based approach to regulation.</w:t>
      </w:r>
    </w:p>
    <w:p w:rsidR="00DF1589" w:rsidRDefault="00755DC1">
      <w:pPr>
        <w:pStyle w:val="AHPRAHeadline"/>
        <w:spacing w:after="120"/>
      </w:pPr>
      <w:r w:rsidRPr="00E97FA1">
        <w:rPr>
          <w:i/>
          <w:iCs/>
          <w:color w:val="auto"/>
          <w:sz w:val="18"/>
          <w:szCs w:val="18"/>
        </w:rPr>
        <w:t xml:space="preserve">*Except in NSW and QLD </w:t>
      </w:r>
      <w:r>
        <w:rPr>
          <w:i/>
          <w:iCs/>
          <w:color w:val="auto"/>
          <w:sz w:val="18"/>
          <w:szCs w:val="18"/>
        </w:rPr>
        <w:t xml:space="preserve">which have co-regulatory arrangements. </w:t>
      </w:r>
      <w:r w:rsidR="000F5D90" w:rsidRPr="000E7E28">
        <w:tab/>
      </w:r>
    </w:p>
    <w:sectPr w:rsidR="00DF1589" w:rsidSect="008D4206">
      <w:headerReference w:type="default" r:id="rId19"/>
      <w:footerReference w:type="even" r:id="rId20"/>
      <w:footerReference w:type="default" r:id="rId21"/>
      <w:headerReference w:type="first" r:id="rId22"/>
      <w:footerReference w:type="first" r:id="rId23"/>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BB" w:rsidRDefault="004573BB" w:rsidP="00FC2881">
      <w:r>
        <w:separator/>
      </w:r>
    </w:p>
    <w:p w:rsidR="004573BB" w:rsidRDefault="004573BB"/>
  </w:endnote>
  <w:endnote w:type="continuationSeparator" w:id="0">
    <w:p w:rsidR="004573BB" w:rsidRDefault="004573BB" w:rsidP="00FC2881">
      <w:r>
        <w:continuationSeparator/>
      </w:r>
    </w:p>
    <w:p w:rsidR="004573BB" w:rsidRDefault="0045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Default="00DF1589" w:rsidP="00FC2881">
    <w:pPr>
      <w:pStyle w:val="AHPRAfootnote"/>
      <w:framePr w:wrap="around" w:vAnchor="text" w:hAnchor="margin" w:xAlign="right" w:y="1"/>
    </w:pPr>
    <w:r>
      <w:fldChar w:fldCharType="begin"/>
    </w:r>
    <w:r w:rsidR="004573BB">
      <w:instrText xml:space="preserve">PAGE  </w:instrText>
    </w:r>
    <w:r>
      <w:fldChar w:fldCharType="end"/>
    </w:r>
  </w:p>
  <w:p w:rsidR="004573BB" w:rsidRDefault="004573BB" w:rsidP="00FC2881">
    <w:pPr>
      <w:pStyle w:val="AHPRAfootnote"/>
      <w:ind w:right="360"/>
    </w:pPr>
  </w:p>
  <w:p w:rsidR="004573BB" w:rsidRDefault="004573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Pr="000E7E28" w:rsidRDefault="00E7401D" w:rsidP="000E7E28">
    <w:pPr>
      <w:pStyle w:val="AHPRApagenumber"/>
    </w:pPr>
    <w:sdt>
      <w:sdtPr>
        <w:id w:val="18143575"/>
        <w:docPartObj>
          <w:docPartGallery w:val="Page Numbers (Top of Page)"/>
          <w:docPartUnique/>
        </w:docPartObj>
      </w:sdtPr>
      <w:sdtEndPr/>
      <w:sdtContent>
        <w:r w:rsidR="004573BB" w:rsidRPr="000E7E28">
          <w:t xml:space="preserve">Page </w:t>
        </w:r>
        <w:r>
          <w:fldChar w:fldCharType="begin"/>
        </w:r>
        <w:r>
          <w:instrText xml:space="preserve"> PAGE </w:instrText>
        </w:r>
        <w:r>
          <w:fldChar w:fldCharType="separate"/>
        </w:r>
        <w:r>
          <w:rPr>
            <w:noProof/>
          </w:rPr>
          <w:t>2</w:t>
        </w:r>
        <w:r>
          <w:rPr>
            <w:noProof/>
          </w:rPr>
          <w:fldChar w:fldCharType="end"/>
        </w:r>
        <w:r w:rsidR="004573BB"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Pr="00E77E23" w:rsidRDefault="004573BB" w:rsidP="00AB7F5D">
    <w:pPr>
      <w:pStyle w:val="AHPRAfirstpagefooter"/>
    </w:pPr>
    <w:r>
      <w:rPr>
        <w:color w:val="007DC3"/>
      </w:rPr>
      <w:t>Pharmacy</w:t>
    </w:r>
    <w:r w:rsidRPr="00E77E23">
      <w:t xml:space="preserve"> </w:t>
    </w:r>
    <w:r>
      <w:t>Board of Australia</w:t>
    </w:r>
  </w:p>
  <w:p w:rsidR="004573BB" w:rsidRDefault="004573BB"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BB" w:rsidRDefault="004573BB" w:rsidP="000E7E28">
      <w:r>
        <w:separator/>
      </w:r>
    </w:p>
  </w:footnote>
  <w:footnote w:type="continuationSeparator" w:id="0">
    <w:p w:rsidR="004573BB" w:rsidRDefault="004573BB" w:rsidP="00FC2881">
      <w:r>
        <w:continuationSeparator/>
      </w:r>
    </w:p>
    <w:p w:rsidR="004573BB" w:rsidRDefault="004573BB"/>
  </w:footnote>
  <w:footnote w:type="continuationNotice" w:id="1">
    <w:p w:rsidR="004573BB" w:rsidRDefault="004573BB"/>
  </w:footnote>
  <w:footnote w:id="2">
    <w:p w:rsidR="004573BB" w:rsidRPr="005632A0" w:rsidRDefault="004573BB">
      <w:pPr>
        <w:pStyle w:val="FootnoteText"/>
        <w:rPr>
          <w:lang w:val="en-AU"/>
        </w:rPr>
      </w:pPr>
      <w:r>
        <w:rPr>
          <w:rStyle w:val="FootnoteReference"/>
        </w:rPr>
        <w:footnoteRef/>
      </w:r>
      <w:r>
        <w:t xml:space="preserve"> </w:t>
      </w:r>
      <w:r w:rsidRPr="008E4621">
        <w:rPr>
          <w:rFonts w:cs="Arial"/>
          <w:sz w:val="16"/>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Pr="00315933" w:rsidRDefault="004573BB" w:rsidP="001F25BA">
    <w:pPr>
      <w:ind w:right="-567"/>
    </w:pPr>
  </w:p>
  <w:p w:rsidR="004573BB" w:rsidRDefault="004573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Default="004573BB"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19050" t="0" r="0" b="0"/>
          <wp:wrapSquare wrapText="bothSides"/>
          <wp:docPr id="12" name="Picture 7" descr="AHPRA_Pharmac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4573BB" w:rsidRDefault="004573BB" w:rsidP="00E844A0"/>
  <w:p w:rsidR="004573BB" w:rsidRDefault="004573BB" w:rsidP="00E844A0"/>
  <w:p w:rsidR="004573BB" w:rsidRDefault="004573BB" w:rsidP="00E844A0"/>
  <w:p w:rsidR="004573BB" w:rsidRDefault="004573BB" w:rsidP="00E844A0"/>
  <w:p w:rsidR="004573BB" w:rsidRDefault="004573BB" w:rsidP="009226B7">
    <w:pPr>
      <w:tabs>
        <w:tab w:val="left" w:pos="3667"/>
      </w:tabs>
    </w:pPr>
    <w:r>
      <w:tab/>
    </w:r>
  </w:p>
  <w:p w:rsidR="004573BB" w:rsidRDefault="004573B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1F6E07"/>
    <w:multiLevelType w:val="hybridMultilevel"/>
    <w:tmpl w:val="BF2C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8A76A51"/>
    <w:multiLevelType w:val="hybridMultilevel"/>
    <w:tmpl w:val="F806C5A8"/>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1B20"/>
    <w:multiLevelType w:val="hybridMultilevel"/>
    <w:tmpl w:val="C576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B68"/>
    <w:multiLevelType w:val="hybridMultilevel"/>
    <w:tmpl w:val="52DC2C60"/>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4433A"/>
    <w:multiLevelType w:val="multilevel"/>
    <w:tmpl w:val="C4183F12"/>
    <w:numStyleLink w:val="AHPRANumberedlist"/>
  </w:abstractNum>
  <w:abstractNum w:abstractNumId="18" w15:restartNumberingAfterBreak="0">
    <w:nsid w:val="57C73319"/>
    <w:multiLevelType w:val="hybridMultilevel"/>
    <w:tmpl w:val="EF8696AE"/>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4" w15:restartNumberingAfterBreak="0">
    <w:nsid w:val="73583F52"/>
    <w:multiLevelType w:val="hybridMultilevel"/>
    <w:tmpl w:val="BB4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54B0"/>
    <w:multiLevelType w:val="multilevel"/>
    <w:tmpl w:val="C4183F12"/>
    <w:numStyleLink w:val="AHPRANumberedlist"/>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C4183F12"/>
    <w:numStyleLink w:val="AHPRANumberedlist"/>
  </w:abstractNum>
  <w:num w:numId="1">
    <w:abstractNumId w:val="22"/>
  </w:num>
  <w:num w:numId="2">
    <w:abstractNumId w:val="15"/>
  </w:num>
  <w:num w:numId="3">
    <w:abstractNumId w:val="1"/>
  </w:num>
  <w:num w:numId="4">
    <w:abstractNumId w:val="4"/>
  </w:num>
  <w:num w:numId="5">
    <w:abstractNumId w:val="6"/>
  </w:num>
  <w:num w:numId="6">
    <w:abstractNumId w:val="9"/>
  </w:num>
  <w:num w:numId="7">
    <w:abstractNumId w:val="0"/>
  </w:num>
  <w:num w:numId="8">
    <w:abstractNumId w:val="11"/>
  </w:num>
  <w:num w:numId="9">
    <w:abstractNumId w:val="26"/>
  </w:num>
  <w:num w:numId="10">
    <w:abstractNumId w:val="17"/>
  </w:num>
  <w:num w:numId="11">
    <w:abstractNumId w:val="3"/>
  </w:num>
  <w:num w:numId="12">
    <w:abstractNumId w:val="25"/>
  </w:num>
  <w:num w:numId="13">
    <w:abstractNumId w:val="27"/>
  </w:num>
  <w:num w:numId="14">
    <w:abstractNumId w:val="21"/>
  </w:num>
  <w:num w:numId="15">
    <w:abstractNumId w:val="5"/>
  </w:num>
  <w:num w:numId="16">
    <w:abstractNumId w:val="24"/>
  </w:num>
  <w:num w:numId="17">
    <w:abstractNumId w:val="12"/>
  </w:num>
  <w:num w:numId="18">
    <w:abstractNumId w:val="18"/>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7"/>
  </w:num>
  <w:num w:numId="23">
    <w:abstractNumId w:val="20"/>
  </w:num>
  <w:num w:numId="24">
    <w:abstractNumId w:val="10"/>
  </w:num>
  <w:num w:numId="25">
    <w:abstractNumId w:val="16"/>
  </w:num>
  <w:num w:numId="26">
    <w:abstractNumId w:val="14"/>
  </w:num>
  <w:num w:numId="27">
    <w:abstractNumId w:val="19"/>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5485D"/>
    <w:rsid w:val="00000033"/>
    <w:rsid w:val="00000FA6"/>
    <w:rsid w:val="00003949"/>
    <w:rsid w:val="00006922"/>
    <w:rsid w:val="000334D7"/>
    <w:rsid w:val="00054344"/>
    <w:rsid w:val="00071439"/>
    <w:rsid w:val="000945FB"/>
    <w:rsid w:val="00095E79"/>
    <w:rsid w:val="00096D52"/>
    <w:rsid w:val="000A0333"/>
    <w:rsid w:val="000A35A6"/>
    <w:rsid w:val="000A6BF7"/>
    <w:rsid w:val="000A7E95"/>
    <w:rsid w:val="000C1AB8"/>
    <w:rsid w:val="000C5F59"/>
    <w:rsid w:val="000D7866"/>
    <w:rsid w:val="000E7E28"/>
    <w:rsid w:val="000F5D90"/>
    <w:rsid w:val="0010139F"/>
    <w:rsid w:val="00136D9A"/>
    <w:rsid w:val="00136FE7"/>
    <w:rsid w:val="00142930"/>
    <w:rsid w:val="00143CC2"/>
    <w:rsid w:val="001449F4"/>
    <w:rsid w:val="00144DEF"/>
    <w:rsid w:val="001506FE"/>
    <w:rsid w:val="001575FF"/>
    <w:rsid w:val="00157B0A"/>
    <w:rsid w:val="00167B00"/>
    <w:rsid w:val="00176095"/>
    <w:rsid w:val="001765D0"/>
    <w:rsid w:val="00180834"/>
    <w:rsid w:val="001829D0"/>
    <w:rsid w:val="001A2917"/>
    <w:rsid w:val="001B1C3A"/>
    <w:rsid w:val="001C425C"/>
    <w:rsid w:val="001D0774"/>
    <w:rsid w:val="001E19F7"/>
    <w:rsid w:val="001E1E31"/>
    <w:rsid w:val="001E2849"/>
    <w:rsid w:val="001E4A94"/>
    <w:rsid w:val="001E5621"/>
    <w:rsid w:val="001E77B0"/>
    <w:rsid w:val="001F0AFD"/>
    <w:rsid w:val="001F179D"/>
    <w:rsid w:val="001F25BA"/>
    <w:rsid w:val="002173CC"/>
    <w:rsid w:val="00220042"/>
    <w:rsid w:val="00220A3B"/>
    <w:rsid w:val="00221453"/>
    <w:rsid w:val="00224708"/>
    <w:rsid w:val="00230645"/>
    <w:rsid w:val="00235305"/>
    <w:rsid w:val="0024145A"/>
    <w:rsid w:val="0025485D"/>
    <w:rsid w:val="00264622"/>
    <w:rsid w:val="0028013F"/>
    <w:rsid w:val="002874B2"/>
    <w:rsid w:val="00295B44"/>
    <w:rsid w:val="00297274"/>
    <w:rsid w:val="002A7DC2"/>
    <w:rsid w:val="002B2D48"/>
    <w:rsid w:val="002C08FB"/>
    <w:rsid w:val="002C34EA"/>
    <w:rsid w:val="002D4B7A"/>
    <w:rsid w:val="00303BE1"/>
    <w:rsid w:val="00305AFC"/>
    <w:rsid w:val="00313784"/>
    <w:rsid w:val="003354E4"/>
    <w:rsid w:val="0034108D"/>
    <w:rsid w:val="00353D8A"/>
    <w:rsid w:val="00357028"/>
    <w:rsid w:val="00363D1A"/>
    <w:rsid w:val="0038620E"/>
    <w:rsid w:val="0039141B"/>
    <w:rsid w:val="003A18C5"/>
    <w:rsid w:val="003B68F7"/>
    <w:rsid w:val="003C7919"/>
    <w:rsid w:val="003D6DBD"/>
    <w:rsid w:val="003E00B5"/>
    <w:rsid w:val="003E3268"/>
    <w:rsid w:val="003E5071"/>
    <w:rsid w:val="003F2F06"/>
    <w:rsid w:val="00405C0A"/>
    <w:rsid w:val="00414F2C"/>
    <w:rsid w:val="00421184"/>
    <w:rsid w:val="00427D75"/>
    <w:rsid w:val="00450B34"/>
    <w:rsid w:val="004573BB"/>
    <w:rsid w:val="004606A7"/>
    <w:rsid w:val="00461C91"/>
    <w:rsid w:val="00472683"/>
    <w:rsid w:val="00472FB6"/>
    <w:rsid w:val="0047542D"/>
    <w:rsid w:val="004A5E5D"/>
    <w:rsid w:val="004B747B"/>
    <w:rsid w:val="004C04E3"/>
    <w:rsid w:val="004D7537"/>
    <w:rsid w:val="004E3B5B"/>
    <w:rsid w:val="004F5C05"/>
    <w:rsid w:val="005315D9"/>
    <w:rsid w:val="00536208"/>
    <w:rsid w:val="0053749F"/>
    <w:rsid w:val="00546C3A"/>
    <w:rsid w:val="0055204A"/>
    <w:rsid w:val="00553A4C"/>
    <w:rsid w:val="00554335"/>
    <w:rsid w:val="005565CE"/>
    <w:rsid w:val="005632A0"/>
    <w:rsid w:val="00564090"/>
    <w:rsid w:val="005708AE"/>
    <w:rsid w:val="0058028E"/>
    <w:rsid w:val="00585CC0"/>
    <w:rsid w:val="00592249"/>
    <w:rsid w:val="00593C13"/>
    <w:rsid w:val="005A0FA9"/>
    <w:rsid w:val="005B4CB8"/>
    <w:rsid w:val="005C5932"/>
    <w:rsid w:val="005C6817"/>
    <w:rsid w:val="005E2917"/>
    <w:rsid w:val="005F4A44"/>
    <w:rsid w:val="00616043"/>
    <w:rsid w:val="006277AF"/>
    <w:rsid w:val="00640B2C"/>
    <w:rsid w:val="00660D4B"/>
    <w:rsid w:val="00667CAD"/>
    <w:rsid w:val="00681D5E"/>
    <w:rsid w:val="00686F30"/>
    <w:rsid w:val="0069195D"/>
    <w:rsid w:val="00692B04"/>
    <w:rsid w:val="006C0257"/>
    <w:rsid w:val="006C0E29"/>
    <w:rsid w:val="006C68F6"/>
    <w:rsid w:val="006D27C7"/>
    <w:rsid w:val="006D30FE"/>
    <w:rsid w:val="006D3757"/>
    <w:rsid w:val="006F7348"/>
    <w:rsid w:val="006F796D"/>
    <w:rsid w:val="0070155F"/>
    <w:rsid w:val="00707629"/>
    <w:rsid w:val="0070795B"/>
    <w:rsid w:val="0072156D"/>
    <w:rsid w:val="007235F6"/>
    <w:rsid w:val="007372A4"/>
    <w:rsid w:val="00740D27"/>
    <w:rsid w:val="00741B04"/>
    <w:rsid w:val="007432A4"/>
    <w:rsid w:val="00755DC1"/>
    <w:rsid w:val="0076115C"/>
    <w:rsid w:val="007664F3"/>
    <w:rsid w:val="0079197C"/>
    <w:rsid w:val="007A0A32"/>
    <w:rsid w:val="007A21A0"/>
    <w:rsid w:val="007A35B9"/>
    <w:rsid w:val="007B77D6"/>
    <w:rsid w:val="007C0B6E"/>
    <w:rsid w:val="007C333B"/>
    <w:rsid w:val="007C3766"/>
    <w:rsid w:val="007D0B74"/>
    <w:rsid w:val="007D4836"/>
    <w:rsid w:val="007E2C84"/>
    <w:rsid w:val="007E3545"/>
    <w:rsid w:val="007F0095"/>
    <w:rsid w:val="0081224C"/>
    <w:rsid w:val="00824427"/>
    <w:rsid w:val="008338F7"/>
    <w:rsid w:val="00836397"/>
    <w:rsid w:val="00845054"/>
    <w:rsid w:val="00845D7B"/>
    <w:rsid w:val="00852D1C"/>
    <w:rsid w:val="00856147"/>
    <w:rsid w:val="00860F40"/>
    <w:rsid w:val="008615C9"/>
    <w:rsid w:val="00864020"/>
    <w:rsid w:val="00876424"/>
    <w:rsid w:val="00877659"/>
    <w:rsid w:val="00892932"/>
    <w:rsid w:val="00894DD0"/>
    <w:rsid w:val="008979D5"/>
    <w:rsid w:val="008A4C3B"/>
    <w:rsid w:val="008B2AD7"/>
    <w:rsid w:val="008B7068"/>
    <w:rsid w:val="008D4206"/>
    <w:rsid w:val="008D6B7E"/>
    <w:rsid w:val="008D7845"/>
    <w:rsid w:val="008E6AA0"/>
    <w:rsid w:val="008F0D30"/>
    <w:rsid w:val="009226B7"/>
    <w:rsid w:val="00923B23"/>
    <w:rsid w:val="00937ED0"/>
    <w:rsid w:val="00952797"/>
    <w:rsid w:val="0097049B"/>
    <w:rsid w:val="009777D3"/>
    <w:rsid w:val="009859E6"/>
    <w:rsid w:val="00996BFC"/>
    <w:rsid w:val="009A0A5D"/>
    <w:rsid w:val="009C0EBE"/>
    <w:rsid w:val="009C6933"/>
    <w:rsid w:val="009E1A11"/>
    <w:rsid w:val="009E38C9"/>
    <w:rsid w:val="009E7EA1"/>
    <w:rsid w:val="00A04C7A"/>
    <w:rsid w:val="00A058E5"/>
    <w:rsid w:val="00A07582"/>
    <w:rsid w:val="00A10C1A"/>
    <w:rsid w:val="00A2072E"/>
    <w:rsid w:val="00A237BB"/>
    <w:rsid w:val="00A30BA4"/>
    <w:rsid w:val="00A33009"/>
    <w:rsid w:val="00A509AB"/>
    <w:rsid w:val="00A56C8F"/>
    <w:rsid w:val="00A70173"/>
    <w:rsid w:val="00A71C44"/>
    <w:rsid w:val="00A73479"/>
    <w:rsid w:val="00A74755"/>
    <w:rsid w:val="00A82078"/>
    <w:rsid w:val="00A838C8"/>
    <w:rsid w:val="00A839F8"/>
    <w:rsid w:val="00A91C42"/>
    <w:rsid w:val="00A925A4"/>
    <w:rsid w:val="00A93E8C"/>
    <w:rsid w:val="00A9516B"/>
    <w:rsid w:val="00A9780A"/>
    <w:rsid w:val="00AA00AF"/>
    <w:rsid w:val="00AA10A8"/>
    <w:rsid w:val="00AA2FC9"/>
    <w:rsid w:val="00AB283D"/>
    <w:rsid w:val="00AB7F5D"/>
    <w:rsid w:val="00AD312E"/>
    <w:rsid w:val="00AD4B09"/>
    <w:rsid w:val="00AE3EAF"/>
    <w:rsid w:val="00AE730F"/>
    <w:rsid w:val="00AF20F6"/>
    <w:rsid w:val="00B024B0"/>
    <w:rsid w:val="00B34EDA"/>
    <w:rsid w:val="00B40CD2"/>
    <w:rsid w:val="00B41762"/>
    <w:rsid w:val="00B51748"/>
    <w:rsid w:val="00B57198"/>
    <w:rsid w:val="00B8203B"/>
    <w:rsid w:val="00B85023"/>
    <w:rsid w:val="00BA2456"/>
    <w:rsid w:val="00BA261B"/>
    <w:rsid w:val="00BA469B"/>
    <w:rsid w:val="00BA7E28"/>
    <w:rsid w:val="00BB2D22"/>
    <w:rsid w:val="00BB4A5B"/>
    <w:rsid w:val="00BC5E94"/>
    <w:rsid w:val="00BF2534"/>
    <w:rsid w:val="00BF79DC"/>
    <w:rsid w:val="00C125C2"/>
    <w:rsid w:val="00C35DE1"/>
    <w:rsid w:val="00C3795C"/>
    <w:rsid w:val="00C524AA"/>
    <w:rsid w:val="00C54689"/>
    <w:rsid w:val="00C81B3A"/>
    <w:rsid w:val="00C96C59"/>
    <w:rsid w:val="00CA1F26"/>
    <w:rsid w:val="00CB26F9"/>
    <w:rsid w:val="00CB6C08"/>
    <w:rsid w:val="00CD0DCA"/>
    <w:rsid w:val="00CD7EB8"/>
    <w:rsid w:val="00CE39AC"/>
    <w:rsid w:val="00CF279D"/>
    <w:rsid w:val="00D03E8A"/>
    <w:rsid w:val="00D1140F"/>
    <w:rsid w:val="00D12F61"/>
    <w:rsid w:val="00D1550C"/>
    <w:rsid w:val="00D201C6"/>
    <w:rsid w:val="00D27374"/>
    <w:rsid w:val="00D638E0"/>
    <w:rsid w:val="00D716BA"/>
    <w:rsid w:val="00D8404D"/>
    <w:rsid w:val="00D8602A"/>
    <w:rsid w:val="00DA0A4E"/>
    <w:rsid w:val="00DA69A8"/>
    <w:rsid w:val="00DC2952"/>
    <w:rsid w:val="00DC55BA"/>
    <w:rsid w:val="00DD605C"/>
    <w:rsid w:val="00DE3B70"/>
    <w:rsid w:val="00DE5265"/>
    <w:rsid w:val="00DE79A1"/>
    <w:rsid w:val="00DF1589"/>
    <w:rsid w:val="00DF1AB7"/>
    <w:rsid w:val="00E07BE7"/>
    <w:rsid w:val="00E07C02"/>
    <w:rsid w:val="00E1254E"/>
    <w:rsid w:val="00E12B06"/>
    <w:rsid w:val="00E15BF6"/>
    <w:rsid w:val="00E301AF"/>
    <w:rsid w:val="00E33240"/>
    <w:rsid w:val="00E6550F"/>
    <w:rsid w:val="00E71CB9"/>
    <w:rsid w:val="00E7357F"/>
    <w:rsid w:val="00E73698"/>
    <w:rsid w:val="00E736B1"/>
    <w:rsid w:val="00E7401D"/>
    <w:rsid w:val="00E74923"/>
    <w:rsid w:val="00E77E23"/>
    <w:rsid w:val="00E8251C"/>
    <w:rsid w:val="00E844A0"/>
    <w:rsid w:val="00E97242"/>
    <w:rsid w:val="00ED6266"/>
    <w:rsid w:val="00EF7BF6"/>
    <w:rsid w:val="00F13ED2"/>
    <w:rsid w:val="00F278A0"/>
    <w:rsid w:val="00F27ACB"/>
    <w:rsid w:val="00F33A7D"/>
    <w:rsid w:val="00F3616F"/>
    <w:rsid w:val="00F6618F"/>
    <w:rsid w:val="00F70DD5"/>
    <w:rsid w:val="00F73165"/>
    <w:rsid w:val="00F90BCE"/>
    <w:rsid w:val="00FB64D5"/>
    <w:rsid w:val="00FC2881"/>
    <w:rsid w:val="00FD7DC1"/>
    <w:rsid w:val="00FE17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0CE394-70DA-4FD2-B375-B95C04F5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99"/>
    <w:semiHidden/>
    <w:unhideWhenUsed/>
    <w:rsid w:val="005315D9"/>
    <w:rPr>
      <w:sz w:val="16"/>
      <w:szCs w:val="16"/>
    </w:rPr>
  </w:style>
  <w:style w:type="paragraph" w:styleId="CommentText">
    <w:name w:val="annotation text"/>
    <w:basedOn w:val="Normal"/>
    <w:link w:val="CommentTextChar"/>
    <w:uiPriority w:val="99"/>
    <w:semiHidden/>
    <w:unhideWhenUsed/>
    <w:rsid w:val="005315D9"/>
    <w:rPr>
      <w:sz w:val="20"/>
      <w:szCs w:val="20"/>
    </w:rPr>
  </w:style>
  <w:style w:type="character" w:customStyle="1" w:styleId="CommentTextChar">
    <w:name w:val="Comment Text Char"/>
    <w:basedOn w:val="DefaultParagraphFont"/>
    <w:link w:val="CommentText"/>
    <w:uiPriority w:val="99"/>
    <w:semiHidden/>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News/2016-03-02-unprofessional-conduct.aspx" TargetMode="External"/><Relationship Id="rId13" Type="http://schemas.openxmlformats.org/officeDocument/2006/relationships/hyperlink" Target="https://www.ahpra.gov.au/Login.aspx" TargetMode="External"/><Relationship Id="rId18" Type="http://schemas.openxmlformats.org/officeDocument/2006/relationships/hyperlink" Target="http://www.ahpra.gov.au/About-AHPRA/What-We-Do.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harmacyboard.gov.au/News/Current-Consultations.aspx" TargetMode="External"/><Relationship Id="rId17" Type="http://schemas.openxmlformats.org/officeDocument/2006/relationships/hyperlink" Target="http://www.pharmacyboard.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hpra.gov.au/About-AHPRA/Contact-Us/Make-an-Enquir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pra.gov.au" TargetMode="External"/><Relationship Id="rId23" Type="http://schemas.openxmlformats.org/officeDocument/2006/relationships/footer" Target="footer3.xml"/><Relationship Id="rId10" Type="http://schemas.openxmlformats.org/officeDocument/2006/relationships/hyperlink" Target="http://www.ahpra.gov.au/annualreport/2015/download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annualreport/2015/" TargetMode="External"/><Relationship Id="rId14" Type="http://schemas.openxmlformats.org/officeDocument/2006/relationships/hyperlink" Target="http://www.pharmacyboard.gov.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35FC-3498-4168-96E6-FE8BC65A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2</Pages>
  <Words>809</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of the Pharmacy Board of Australia</vt:lpstr>
    </vt:vector>
  </TitlesOfParts>
  <Company>Johanna Villani Design</Company>
  <LinksUpToDate>false</LinksUpToDate>
  <CharactersWithSpaces>6114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dc:title>
  <dc:subject>Communique</dc:subject>
  <dc:creator>Pharmacy Board</dc:creator>
  <cp:keywords>25 February 2016</cp:keywords>
  <cp:lastModifiedBy>Tara Johnson</cp:lastModifiedBy>
  <cp:revision>3</cp:revision>
  <cp:lastPrinted>2016-03-09T05:27:00Z</cp:lastPrinted>
  <dcterms:created xsi:type="dcterms:W3CDTF">2016-03-09T05:27:00Z</dcterms:created>
  <dcterms:modified xsi:type="dcterms:W3CDTF">2016-03-09T05:27:00Z</dcterms:modified>
</cp:coreProperties>
</file>